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C870B" w14:textId="43C277FB" w:rsidR="000918C5" w:rsidRPr="002C213F" w:rsidRDefault="006E661F" w:rsidP="000918C5">
      <w:pPr>
        <w:tabs>
          <w:tab w:val="left" w:pos="7920"/>
        </w:tabs>
        <w:rPr>
          <w:rFonts w:ascii="Arial" w:hAnsi="Arial" w:cs="Arial"/>
          <w:b/>
          <w:sz w:val="24"/>
          <w:szCs w:val="24"/>
          <w:lang w:val="de-DE"/>
        </w:rPr>
      </w:pPr>
      <w:r>
        <w:rPr>
          <w:rFonts w:ascii="Arial" w:hAnsi="Arial" w:cs="Arial"/>
          <w:b/>
          <w:sz w:val="24"/>
          <w:szCs w:val="24"/>
          <w:lang w:val="de-DE"/>
        </w:rPr>
        <w:t xml:space="preserve">3GPP </w:t>
      </w:r>
      <w:r w:rsidR="000918C5" w:rsidRPr="002C213F">
        <w:rPr>
          <w:rFonts w:ascii="Arial" w:hAnsi="Arial" w:cs="Arial"/>
          <w:b/>
          <w:sz w:val="24"/>
          <w:szCs w:val="24"/>
          <w:lang w:val="de-DE"/>
        </w:rPr>
        <w:t>RAN</w:t>
      </w:r>
      <w:r w:rsidR="00860BCA">
        <w:rPr>
          <w:rFonts w:ascii="Arial" w:hAnsi="Arial" w:cs="Arial"/>
          <w:b/>
          <w:sz w:val="24"/>
          <w:szCs w:val="24"/>
          <w:lang w:val="de-DE"/>
        </w:rPr>
        <w:t>4</w:t>
      </w:r>
      <w:r w:rsidR="000918C5" w:rsidRPr="002C213F">
        <w:rPr>
          <w:rFonts w:ascii="Arial" w:hAnsi="Arial" w:cs="Arial"/>
          <w:b/>
          <w:sz w:val="24"/>
          <w:szCs w:val="24"/>
          <w:lang w:val="de-DE"/>
        </w:rPr>
        <w:t xml:space="preserve"> Meeting </w:t>
      </w:r>
      <w:r w:rsidR="000918C5" w:rsidRPr="008D2020">
        <w:rPr>
          <w:rFonts w:ascii="Arial" w:hAnsi="Arial" w:cs="Arial"/>
          <w:b/>
          <w:sz w:val="24"/>
          <w:szCs w:val="24"/>
          <w:lang w:val="de-DE"/>
        </w:rPr>
        <w:t>#</w:t>
      </w:r>
      <w:r w:rsidR="00860BCA">
        <w:rPr>
          <w:rFonts w:ascii="Arial" w:hAnsi="Arial" w:cs="Arial"/>
          <w:b/>
          <w:sz w:val="24"/>
          <w:szCs w:val="24"/>
          <w:lang w:val="de-DE"/>
        </w:rPr>
        <w:t>85</w:t>
      </w:r>
      <w:r w:rsidR="000918C5">
        <w:rPr>
          <w:rFonts w:ascii="Arial" w:hAnsi="Arial" w:cs="Arial"/>
          <w:b/>
          <w:sz w:val="24"/>
          <w:szCs w:val="24"/>
          <w:lang w:val="de-DE"/>
        </w:rPr>
        <w:tab/>
      </w:r>
      <w:r w:rsidR="00CA7495" w:rsidRPr="00CA7495">
        <w:rPr>
          <w:rFonts w:ascii="Arial" w:hAnsi="Arial" w:cs="Arial"/>
          <w:b/>
          <w:sz w:val="24"/>
          <w:szCs w:val="24"/>
          <w:lang w:val="de-DE"/>
        </w:rPr>
        <w:t>R4-</w:t>
      </w:r>
      <w:r w:rsidR="004905B5" w:rsidRPr="00CA7495">
        <w:rPr>
          <w:rFonts w:ascii="Arial" w:hAnsi="Arial" w:cs="Arial"/>
          <w:b/>
          <w:sz w:val="24"/>
          <w:szCs w:val="24"/>
          <w:lang w:val="de-DE"/>
        </w:rPr>
        <w:t>17</w:t>
      </w:r>
      <w:r w:rsidR="004905B5">
        <w:rPr>
          <w:rFonts w:ascii="Arial" w:hAnsi="Arial" w:cs="Arial"/>
          <w:b/>
          <w:sz w:val="24"/>
          <w:szCs w:val="24"/>
          <w:lang w:val="de-DE"/>
        </w:rPr>
        <w:t>12319</w:t>
      </w:r>
      <w:r w:rsidR="000918C5">
        <w:rPr>
          <w:rFonts w:ascii="Arial" w:hAnsi="Arial" w:cs="Arial"/>
          <w:b/>
          <w:sz w:val="24"/>
          <w:szCs w:val="24"/>
          <w:lang w:val="de-DE"/>
        </w:rPr>
        <w:br/>
      </w:r>
      <w:r w:rsidR="008F06F2">
        <w:rPr>
          <w:rFonts w:ascii="Arial" w:hAnsi="Arial" w:cs="Arial"/>
          <w:b/>
          <w:sz w:val="24"/>
          <w:szCs w:val="24"/>
        </w:rPr>
        <w:t>Reno</w:t>
      </w:r>
      <w:r w:rsidR="000918C5" w:rsidRPr="002C213F">
        <w:rPr>
          <w:rFonts w:ascii="Arial" w:hAnsi="Arial" w:cs="Arial"/>
          <w:b/>
          <w:sz w:val="24"/>
          <w:szCs w:val="24"/>
        </w:rPr>
        <w:t xml:space="preserve">, </w:t>
      </w:r>
      <w:r w:rsidR="00B75493">
        <w:rPr>
          <w:rFonts w:ascii="Arial" w:hAnsi="Arial" w:cs="Arial"/>
          <w:b/>
          <w:sz w:val="24"/>
          <w:szCs w:val="24"/>
        </w:rPr>
        <w:t>USA</w:t>
      </w:r>
      <w:r w:rsidR="000918C5" w:rsidRPr="002C213F">
        <w:rPr>
          <w:rFonts w:ascii="Arial" w:hAnsi="Arial" w:cs="Arial"/>
          <w:b/>
          <w:sz w:val="24"/>
          <w:szCs w:val="24"/>
        </w:rPr>
        <w:t xml:space="preserve">, </w:t>
      </w:r>
      <w:r w:rsidR="008F06F2">
        <w:rPr>
          <w:rFonts w:ascii="Arial" w:hAnsi="Arial" w:cs="Arial"/>
          <w:b/>
          <w:sz w:val="24"/>
          <w:szCs w:val="24"/>
        </w:rPr>
        <w:t>27</w:t>
      </w:r>
      <w:r w:rsidR="000918C5" w:rsidRPr="002C213F">
        <w:rPr>
          <w:rFonts w:ascii="Arial" w:hAnsi="Arial" w:cs="Arial"/>
          <w:b/>
          <w:sz w:val="24"/>
          <w:szCs w:val="24"/>
        </w:rPr>
        <w:t xml:space="preserve"> </w:t>
      </w:r>
      <w:r w:rsidR="00B04C91">
        <w:rPr>
          <w:rFonts w:ascii="Arial" w:hAnsi="Arial" w:cs="Arial"/>
          <w:b/>
          <w:sz w:val="24"/>
          <w:szCs w:val="24"/>
        </w:rPr>
        <w:t xml:space="preserve">November </w:t>
      </w:r>
      <w:r w:rsidR="000918C5" w:rsidRPr="002C213F">
        <w:rPr>
          <w:rFonts w:ascii="Arial" w:hAnsi="Arial" w:cs="Arial"/>
          <w:b/>
          <w:sz w:val="24"/>
          <w:szCs w:val="24"/>
        </w:rPr>
        <w:t xml:space="preserve">– </w:t>
      </w:r>
      <w:r w:rsidR="00B04C91">
        <w:rPr>
          <w:rFonts w:ascii="Arial" w:hAnsi="Arial" w:cs="Arial"/>
          <w:b/>
          <w:sz w:val="24"/>
          <w:szCs w:val="24"/>
        </w:rPr>
        <w:t>1</w:t>
      </w:r>
      <w:r w:rsidR="008D2020">
        <w:rPr>
          <w:rFonts w:ascii="Arial" w:hAnsi="Arial" w:cs="Arial"/>
          <w:b/>
          <w:sz w:val="24"/>
          <w:szCs w:val="24"/>
        </w:rPr>
        <w:t xml:space="preserve"> </w:t>
      </w:r>
      <w:r w:rsidR="00B04C91">
        <w:rPr>
          <w:rFonts w:ascii="Arial" w:hAnsi="Arial" w:cs="Arial"/>
          <w:b/>
          <w:sz w:val="24"/>
          <w:szCs w:val="24"/>
        </w:rPr>
        <w:t>Dec</w:t>
      </w:r>
      <w:r>
        <w:rPr>
          <w:rFonts w:ascii="Arial" w:hAnsi="Arial" w:cs="Arial"/>
          <w:b/>
          <w:sz w:val="24"/>
          <w:szCs w:val="24"/>
        </w:rPr>
        <w:t>ember</w:t>
      </w:r>
      <w:r w:rsidR="000918C5" w:rsidRPr="002C213F">
        <w:rPr>
          <w:rFonts w:ascii="Arial" w:hAnsi="Arial" w:cs="Arial"/>
          <w:b/>
          <w:sz w:val="24"/>
          <w:szCs w:val="24"/>
        </w:rPr>
        <w:t>, 2017</w:t>
      </w:r>
    </w:p>
    <w:p w14:paraId="1C65602A" w14:textId="77777777" w:rsidR="000918C5" w:rsidRPr="0008103A" w:rsidRDefault="000918C5" w:rsidP="000918C5">
      <w:pPr>
        <w:rPr>
          <w:rFonts w:ascii="Arial" w:hAnsi="Arial" w:cs="Arial"/>
          <w:b/>
          <w:sz w:val="24"/>
          <w:szCs w:val="24"/>
        </w:rPr>
      </w:pPr>
    </w:p>
    <w:p w14:paraId="7826FF10" w14:textId="0241377F"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B75493">
        <w:rPr>
          <w:rFonts w:ascii="Arial" w:hAnsi="Arial" w:cs="Arial"/>
          <w:b/>
          <w:sz w:val="24"/>
          <w:szCs w:val="24"/>
        </w:rPr>
        <w:t>9.4.3.1.2</w:t>
      </w:r>
    </w:p>
    <w:p w14:paraId="0B13FC2B" w14:textId="17CE931A" w:rsidR="000918C5" w:rsidRPr="0008103A" w:rsidRDefault="000918C5"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r w:rsidR="00481146">
        <w:rPr>
          <w:rFonts w:ascii="Arial" w:hAnsi="Arial" w:cs="Arial"/>
          <w:b/>
          <w:sz w:val="24"/>
          <w:szCs w:val="24"/>
        </w:rPr>
        <w:t xml:space="preserve">, </w:t>
      </w:r>
      <w:r w:rsidR="00481146" w:rsidRPr="00481146">
        <w:rPr>
          <w:rFonts w:ascii="Arial" w:hAnsi="Arial" w:cs="Arial"/>
          <w:b/>
          <w:sz w:val="24"/>
          <w:szCs w:val="24"/>
        </w:rPr>
        <w:t xml:space="preserve">Apple, </w:t>
      </w:r>
      <w:r w:rsidR="00DE2E94">
        <w:rPr>
          <w:rFonts w:ascii="Arial" w:hAnsi="Arial" w:cs="Arial"/>
          <w:b/>
          <w:sz w:val="24"/>
          <w:szCs w:val="24"/>
        </w:rPr>
        <w:t xml:space="preserve">OPPO, </w:t>
      </w:r>
      <w:r w:rsidR="001D0B1E">
        <w:rPr>
          <w:rFonts w:ascii="Arial" w:hAnsi="Arial" w:cs="Arial"/>
          <w:b/>
          <w:sz w:val="24"/>
          <w:szCs w:val="24"/>
        </w:rPr>
        <w:t xml:space="preserve">Samsung, </w:t>
      </w:r>
      <w:r w:rsidR="00773BF4">
        <w:rPr>
          <w:rFonts w:ascii="Arial" w:hAnsi="Arial" w:cs="Arial"/>
          <w:b/>
          <w:sz w:val="24"/>
          <w:szCs w:val="24"/>
        </w:rPr>
        <w:t xml:space="preserve">LGE, </w:t>
      </w:r>
      <w:r w:rsidR="004905B5">
        <w:rPr>
          <w:rFonts w:ascii="Arial" w:hAnsi="Arial" w:cs="Arial"/>
          <w:b/>
          <w:sz w:val="24"/>
          <w:szCs w:val="24"/>
        </w:rPr>
        <w:t>Xiaomi, MediaTek</w:t>
      </w:r>
      <w:r w:rsidR="00572949">
        <w:rPr>
          <w:rFonts w:ascii="Arial" w:hAnsi="Arial" w:cs="Arial"/>
          <w:b/>
          <w:sz w:val="24"/>
          <w:szCs w:val="24"/>
        </w:rPr>
        <w:t>, Motorola</w:t>
      </w:r>
      <w:r w:rsidR="00B369B0">
        <w:rPr>
          <w:rFonts w:ascii="Arial" w:hAnsi="Arial" w:cs="Arial"/>
          <w:b/>
          <w:sz w:val="24"/>
          <w:szCs w:val="24"/>
        </w:rPr>
        <w:t>, Huawei</w:t>
      </w:r>
    </w:p>
    <w:p w14:paraId="18BDB658" w14:textId="2E55E834"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10C98">
        <w:rPr>
          <w:rFonts w:ascii="Arial" w:hAnsi="Arial" w:cs="Arial"/>
          <w:b/>
          <w:sz w:val="24"/>
          <w:szCs w:val="24"/>
        </w:rPr>
        <w:t xml:space="preserve">UE power class for </w:t>
      </w:r>
      <w:r w:rsidR="00481146">
        <w:rPr>
          <w:rFonts w:ascii="Arial" w:hAnsi="Arial" w:cs="Arial"/>
          <w:b/>
          <w:sz w:val="24"/>
          <w:szCs w:val="24"/>
        </w:rPr>
        <w:t>FR2</w:t>
      </w:r>
    </w:p>
    <w:p w14:paraId="410914B4" w14:textId="28C5DFCD"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C3BDB">
        <w:rPr>
          <w:rFonts w:ascii="Arial" w:hAnsi="Arial" w:cs="Arial"/>
          <w:b/>
          <w:sz w:val="24"/>
          <w:szCs w:val="24"/>
        </w:rPr>
        <w:t>Approval</w:t>
      </w:r>
    </w:p>
    <w:p w14:paraId="146C02DA" w14:textId="77777777" w:rsidR="000918C5" w:rsidRDefault="000918C5" w:rsidP="000918C5">
      <w:pPr>
        <w:pStyle w:val="Heading1"/>
      </w:pPr>
      <w:r w:rsidRPr="00647B25">
        <w:t>1</w:t>
      </w:r>
      <w:r w:rsidRPr="00647B25">
        <w:tab/>
        <w:t>Introduction</w:t>
      </w:r>
    </w:p>
    <w:p w14:paraId="4CFBC1EF" w14:textId="7B2EC0B5" w:rsidR="002139A0" w:rsidRDefault="002139A0" w:rsidP="002139A0">
      <w:pPr>
        <w:rPr>
          <w:rFonts w:eastAsia="Batang"/>
        </w:rPr>
      </w:pPr>
      <w:r>
        <w:rPr>
          <w:rFonts w:eastAsia="Batang"/>
        </w:rPr>
        <w:t xml:space="preserve">Power class agreements for mm-wave frequencies have evolved over recent meetings. First, the definition focused on </w:t>
      </w:r>
      <w:r w:rsidR="00177950">
        <w:rPr>
          <w:rFonts w:eastAsia="Batang"/>
        </w:rPr>
        <w:t xml:space="preserve">the UE being able to produce a certain </w:t>
      </w:r>
      <w:r>
        <w:rPr>
          <w:rFonts w:eastAsia="Batang"/>
        </w:rPr>
        <w:t xml:space="preserve">EIRP [1], and was later expanded to include an EIRP mask describing spherical coverage [2]. </w:t>
      </w:r>
      <w:r w:rsidRPr="001720F2">
        <w:rPr>
          <w:rFonts w:eastAsia="Batang"/>
        </w:rPr>
        <w:t>During the RAN</w:t>
      </w:r>
      <w:r>
        <w:rPr>
          <w:rFonts w:eastAsia="Batang"/>
        </w:rPr>
        <w:t xml:space="preserve"> WG4</w:t>
      </w:r>
      <w:r w:rsidRPr="001720F2">
        <w:rPr>
          <w:rFonts w:eastAsia="Batang"/>
        </w:rPr>
        <w:t xml:space="preserve"> #</w:t>
      </w:r>
      <w:r>
        <w:rPr>
          <w:rFonts w:eastAsia="Batang"/>
        </w:rPr>
        <w:t>84bis</w:t>
      </w:r>
      <w:r w:rsidRPr="001720F2">
        <w:rPr>
          <w:rFonts w:eastAsia="Batang"/>
        </w:rPr>
        <w:t xml:space="preserve"> meeting</w:t>
      </w:r>
      <w:r>
        <w:rPr>
          <w:rFonts w:eastAsia="Batang"/>
        </w:rPr>
        <w:t>,</w:t>
      </w:r>
      <w:r w:rsidRPr="001720F2">
        <w:rPr>
          <w:rFonts w:eastAsia="Batang"/>
        </w:rPr>
        <w:t xml:space="preserve"> </w:t>
      </w:r>
      <w:r>
        <w:rPr>
          <w:rFonts w:eastAsia="Batang"/>
        </w:rPr>
        <w:t>the power class discussion for handheld UEs in FR2 reached several agreements</w:t>
      </w:r>
      <w:r w:rsidR="000D5980">
        <w:rPr>
          <w:rFonts w:eastAsia="Batang"/>
        </w:rPr>
        <w:t>, among these to complete peak EIRP power class requirement by December 2017</w:t>
      </w:r>
      <w:r>
        <w:rPr>
          <w:rFonts w:eastAsia="Batang"/>
        </w:rPr>
        <w:t xml:space="preserve">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Pr>
          <w:rFonts w:eastAsia="Batang"/>
        </w:rPr>
        <w:t>[3]</w:t>
      </w:r>
      <w:r>
        <w:rPr>
          <w:rFonts w:eastAsia="Batang"/>
        </w:rPr>
        <w:fldChar w:fldCharType="end"/>
      </w:r>
      <w:r w:rsidR="00BB7052">
        <w:rPr>
          <w:rFonts w:eastAsia="Batang"/>
        </w:rPr>
        <w:t>.</w:t>
      </w:r>
    </w:p>
    <w:p w14:paraId="7D0DD6EF" w14:textId="0BE94EBE" w:rsidR="000918C5" w:rsidRDefault="002139A0" w:rsidP="002139A0">
      <w:pPr>
        <w:rPr>
          <w:rFonts w:eastAsia="Batang"/>
        </w:rPr>
      </w:pPr>
      <w:r>
        <w:rPr>
          <w:rFonts w:eastAsia="Batang"/>
        </w:rPr>
        <w:t xml:space="preserve">This paper discusses the latest agreements on NR mm-wave power class definition and showcases our views on realistic power class (UE output power values) approach, along with the necessary link budget parameters for </w:t>
      </w:r>
      <w:r w:rsidR="000D5980">
        <w:rPr>
          <w:rFonts w:eastAsia="Batang"/>
        </w:rPr>
        <w:t>approval</w:t>
      </w:r>
      <w:r>
        <w:rPr>
          <w:rFonts w:eastAsia="Batang"/>
        </w:rPr>
        <w:t>.</w:t>
      </w:r>
    </w:p>
    <w:p w14:paraId="16FB909A" w14:textId="77777777" w:rsidR="000918C5" w:rsidRDefault="000918C5" w:rsidP="000918C5">
      <w:pPr>
        <w:pStyle w:val="Heading1"/>
        <w:rPr>
          <w:rFonts w:eastAsia="Batang"/>
        </w:rPr>
      </w:pPr>
      <w:r>
        <w:rPr>
          <w:rFonts w:eastAsia="Batang"/>
        </w:rPr>
        <w:t>2</w:t>
      </w:r>
      <w:r>
        <w:rPr>
          <w:rFonts w:eastAsia="Batang"/>
        </w:rPr>
        <w:tab/>
        <w:t>Discussion</w:t>
      </w:r>
    </w:p>
    <w:p w14:paraId="4BE72E80" w14:textId="77777777" w:rsidR="000918C5" w:rsidRDefault="000918C5" w:rsidP="000918C5">
      <w:pPr>
        <w:pStyle w:val="Heading2"/>
        <w:rPr>
          <w:rFonts w:eastAsia="Batang"/>
        </w:rPr>
      </w:pPr>
      <w:r>
        <w:rPr>
          <w:rFonts w:eastAsia="Batang"/>
        </w:rPr>
        <w:t>2.1</w:t>
      </w:r>
      <w:r>
        <w:rPr>
          <w:rFonts w:eastAsia="Batang"/>
        </w:rPr>
        <w:tab/>
        <w:t>Background</w:t>
      </w:r>
    </w:p>
    <w:p w14:paraId="7EEFB412" w14:textId="42C80601" w:rsidR="000918C5" w:rsidRDefault="001F4ACD" w:rsidP="000918C5">
      <w:pPr>
        <w:rPr>
          <w:rFonts w:eastAsia="Batang"/>
        </w:rPr>
      </w:pPr>
      <w:r>
        <w:rPr>
          <w:rFonts w:eastAsia="Batang"/>
        </w:rPr>
        <w:t>T</w:t>
      </w:r>
      <w:r w:rsidR="000918C5" w:rsidRPr="001720F2">
        <w:rPr>
          <w:rFonts w:eastAsia="Batang"/>
        </w:rPr>
        <w:t>he WF from RAN4 #8</w:t>
      </w:r>
      <w:r>
        <w:rPr>
          <w:rFonts w:eastAsia="Batang"/>
        </w:rPr>
        <w:t>4</w:t>
      </w:r>
      <w:r w:rsidR="000918C5" w:rsidRPr="001720F2">
        <w:rPr>
          <w:rFonts w:eastAsia="Batang"/>
        </w:rPr>
        <w:t>bis</w:t>
      </w:r>
      <w:r w:rsidR="005B7CD5">
        <w:rPr>
          <w:rFonts w:eastAsia="Batang"/>
        </w:rPr>
        <w:t xml:space="preserve"> </w:t>
      </w:r>
      <w:r w:rsidR="005B7CD5">
        <w:rPr>
          <w:rFonts w:eastAsia="Batang"/>
        </w:rPr>
        <w:fldChar w:fldCharType="begin"/>
      </w:r>
      <w:r w:rsidR="005B7CD5">
        <w:rPr>
          <w:rFonts w:eastAsia="Batang"/>
        </w:rPr>
        <w:instrText xml:space="preserve"> REF _Ref497513683 \r \h </w:instrText>
      </w:r>
      <w:r w:rsidR="005B7CD5">
        <w:rPr>
          <w:rFonts w:eastAsia="Batang"/>
        </w:rPr>
      </w:r>
      <w:r w:rsidR="005B7CD5">
        <w:rPr>
          <w:rFonts w:eastAsia="Batang"/>
        </w:rPr>
        <w:fldChar w:fldCharType="separate"/>
      </w:r>
      <w:r w:rsidR="005B7CD5">
        <w:rPr>
          <w:rFonts w:eastAsia="Batang"/>
        </w:rPr>
        <w:t>[</w:t>
      </w:r>
      <w:r w:rsidR="00352A34">
        <w:rPr>
          <w:rFonts w:eastAsia="Batang"/>
        </w:rPr>
        <w:t>3</w:t>
      </w:r>
      <w:r w:rsidR="005B7CD5">
        <w:rPr>
          <w:rFonts w:eastAsia="Batang"/>
        </w:rPr>
        <w:t>]</w:t>
      </w:r>
      <w:r w:rsidR="005B7CD5">
        <w:rPr>
          <w:rFonts w:eastAsia="Batang"/>
        </w:rPr>
        <w:fldChar w:fldCharType="end"/>
      </w:r>
      <w:r w:rsidR="000918C5" w:rsidRPr="001720F2">
        <w:rPr>
          <w:rFonts w:eastAsia="Batang"/>
        </w:rPr>
        <w:t xml:space="preserve">, </w:t>
      </w:r>
      <w:r>
        <w:rPr>
          <w:rFonts w:eastAsia="Batang"/>
        </w:rPr>
        <w:t>underlines the urgency of finalizing peak EIRP definition for handheld UEs by the upcoming meeting</w:t>
      </w:r>
      <w:r w:rsidR="00A45612" w:rsidRPr="001720F2">
        <w:rPr>
          <w:rFonts w:eastAsia="Batang"/>
        </w:rPr>
        <w:t>.</w:t>
      </w:r>
      <w:r>
        <w:rPr>
          <w:rFonts w:eastAsia="Batang"/>
        </w:rPr>
        <w:t xml:space="preserve"> </w:t>
      </w:r>
      <w:r w:rsidR="00A45612">
        <w:rPr>
          <w:rFonts w:eastAsia="Batang"/>
        </w:rPr>
        <w:t xml:space="preserve"> </w:t>
      </w:r>
      <w:r>
        <w:rPr>
          <w:rFonts w:eastAsia="Batang"/>
        </w:rPr>
        <w:t>It also stipulates that a discussion of spherical coverage simulation results should take place before diving into CDF definition.</w:t>
      </w:r>
    </w:p>
    <w:p w14:paraId="4CDC12FF" w14:textId="70A1C592" w:rsidR="000918C5" w:rsidRDefault="000918C5" w:rsidP="00472D8B">
      <w:pPr>
        <w:spacing w:after="240"/>
        <w:rPr>
          <w:rFonts w:eastAsia="Batang"/>
        </w:rPr>
      </w:pPr>
      <w:r>
        <w:rPr>
          <w:rFonts w:eastAsia="Batang"/>
        </w:rPr>
        <w:t>From RAN4 #8</w:t>
      </w:r>
      <w:r w:rsidR="001F4ACD">
        <w:rPr>
          <w:rFonts w:eastAsia="Batang"/>
        </w:rPr>
        <w:t>4bis</w:t>
      </w:r>
      <w:r w:rsidR="005B7CD5">
        <w:rPr>
          <w:rFonts w:eastAsia="Batang"/>
        </w:rPr>
        <w:t xml:space="preserve"> </w:t>
      </w:r>
      <w:r w:rsidR="005B7CD5">
        <w:rPr>
          <w:rFonts w:eastAsia="Batang"/>
        </w:rPr>
        <w:fldChar w:fldCharType="begin"/>
      </w:r>
      <w:r w:rsidR="005B7CD5">
        <w:rPr>
          <w:rFonts w:eastAsia="Batang"/>
        </w:rPr>
        <w:instrText xml:space="preserve"> REF _Ref497513683 \r \h </w:instrText>
      </w:r>
      <w:r w:rsidR="005B7CD5">
        <w:rPr>
          <w:rFonts w:eastAsia="Batang"/>
        </w:rPr>
      </w:r>
      <w:r w:rsidR="005B7CD5">
        <w:rPr>
          <w:rFonts w:eastAsia="Batang"/>
        </w:rPr>
        <w:fldChar w:fldCharType="separate"/>
      </w:r>
      <w:r w:rsidR="005B7CD5">
        <w:rPr>
          <w:rFonts w:eastAsia="Batang"/>
        </w:rPr>
        <w:t>[</w:t>
      </w:r>
      <w:r w:rsidR="00352A34">
        <w:rPr>
          <w:rFonts w:eastAsia="Batang"/>
        </w:rPr>
        <w:t>3</w:t>
      </w:r>
      <w:r w:rsidR="005B7CD5">
        <w:rPr>
          <w:rFonts w:eastAsia="Batang"/>
        </w:rPr>
        <w:t>]</w:t>
      </w:r>
      <w:r w:rsidR="005B7CD5">
        <w:rPr>
          <w:rFonts w:eastAsia="Batang"/>
        </w:rPr>
        <w:fldChar w:fldCharType="end"/>
      </w:r>
      <w:r>
        <w:rPr>
          <w:rFonts w:eastAsia="Batang"/>
        </w:rPr>
        <w:t>:</w:t>
      </w:r>
      <w:r w:rsidR="00AC5A61" w:rsidRPr="00AC5A61">
        <w:rPr>
          <w:rFonts w:eastAsia="Batang"/>
          <w:noProof/>
          <w:lang w:val="en-US" w:eastAsia="en-US"/>
        </w:rPr>
        <w:t xml:space="preserve"> </w:t>
      </w:r>
      <w:r w:rsidR="00AC5A61">
        <w:rPr>
          <w:rFonts w:eastAsia="Batang"/>
          <w:noProof/>
          <w:lang w:val="en-US" w:eastAsia="en-US"/>
        </w:rPr>
        <mc:AlternateContent>
          <mc:Choice Requires="wps">
            <w:drawing>
              <wp:inline distT="0" distB="0" distL="0" distR="0" wp14:anchorId="389997F6" wp14:editId="1E4DC009">
                <wp:extent cx="6145619" cy="1840230"/>
                <wp:effectExtent l="0" t="0" r="26670" b="234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619" cy="1840230"/>
                        </a:xfrm>
                        <a:prstGeom prst="rect">
                          <a:avLst/>
                        </a:prstGeom>
                        <a:solidFill>
                          <a:srgbClr val="FFFFFF"/>
                        </a:solidFill>
                        <a:ln w="9525">
                          <a:solidFill>
                            <a:srgbClr val="000000"/>
                          </a:solidFill>
                          <a:miter lim="800000"/>
                          <a:headEnd/>
                          <a:tailEnd/>
                        </a:ln>
                      </wps:spPr>
                      <wps:txbx>
                        <w:txbxContent>
                          <w:p w14:paraId="2A369797" w14:textId="3B8DC8F9" w:rsidR="00FA2417" w:rsidRDefault="00FA2417" w:rsidP="00FB3E76">
                            <w:pPr>
                              <w:overflowPunct/>
                              <w:autoSpaceDE/>
                              <w:autoSpaceDN/>
                              <w:adjustRightInd/>
                              <w:spacing w:after="0" w:line="259" w:lineRule="auto"/>
                              <w:textAlignment w:val="auto"/>
                              <w:rPr>
                                <w:lang w:val="en-US"/>
                              </w:rPr>
                            </w:pPr>
                            <w:r>
                              <w:rPr>
                                <w:lang w:val="en-US"/>
                              </w:rPr>
                              <w:t>Agreements:</w:t>
                            </w:r>
                          </w:p>
                          <w:p w14:paraId="304EE9CA" w14:textId="604C8F04" w:rsidR="00FA2417" w:rsidRPr="00FB3E76"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A single power class is defined for handheld UEs operating in FR2 in Rel-15</w:t>
                            </w:r>
                          </w:p>
                          <w:p w14:paraId="5E6BC68B" w14:textId="77777777" w:rsidR="00FA2417" w:rsidRPr="00FB3E76" w:rsidRDefault="00FA2417" w:rsidP="00FB3E76">
                            <w:pPr>
                              <w:numPr>
                                <w:ilvl w:val="1"/>
                                <w:numId w:val="5"/>
                              </w:numPr>
                              <w:overflowPunct/>
                              <w:autoSpaceDE/>
                              <w:autoSpaceDN/>
                              <w:adjustRightInd/>
                              <w:spacing w:after="0" w:line="259" w:lineRule="auto"/>
                              <w:textAlignment w:val="auto"/>
                              <w:rPr>
                                <w:lang w:val="en-US"/>
                              </w:rPr>
                            </w:pPr>
                            <w:r w:rsidRPr="00FB3E76">
                              <w:rPr>
                                <w:lang w:val="en-US"/>
                              </w:rPr>
                              <w:t>FFS for other UE types</w:t>
                            </w:r>
                          </w:p>
                          <w:p w14:paraId="67ACAC5E" w14:textId="77777777" w:rsidR="00FA2417" w:rsidRPr="00FB3E76"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The power class value is defined as the peak EIRP and is band dependent</w:t>
                            </w:r>
                          </w:p>
                          <w:p w14:paraId="665D853C" w14:textId="77777777" w:rsidR="00FA2417" w:rsidRPr="00FB3E76" w:rsidRDefault="00FA2417" w:rsidP="00FB3E76">
                            <w:pPr>
                              <w:numPr>
                                <w:ilvl w:val="1"/>
                                <w:numId w:val="5"/>
                              </w:numPr>
                              <w:overflowPunct/>
                              <w:autoSpaceDE/>
                              <w:autoSpaceDN/>
                              <w:adjustRightInd/>
                              <w:spacing w:after="0" w:line="259" w:lineRule="auto"/>
                              <w:textAlignment w:val="auto"/>
                              <w:rPr>
                                <w:lang w:val="en-US"/>
                              </w:rPr>
                            </w:pPr>
                            <w:r w:rsidRPr="00FB3E76">
                              <w:rPr>
                                <w:lang w:val="en-US"/>
                              </w:rPr>
                              <w:t>Baseline definition: the peak EIRP requirement is defined as the minimum value with no tolerance; it is bounded by the range of values between 22 dBm and 30.2 dBm</w:t>
                            </w:r>
                          </w:p>
                          <w:p w14:paraId="2CCD4F00" w14:textId="77777777" w:rsidR="00FA2417" w:rsidRPr="00FB3E76"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The requirements on max allowed EIRP and upper limit TRP for handheld UEs are defined as captured in R4-1710081</w:t>
                            </w:r>
                          </w:p>
                          <w:p w14:paraId="6946713C" w14:textId="25D3D472" w:rsidR="00FA2417"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Agreement on the peak EIRP for handheld UEs is sufficient to complete the power class requirement by Dec 2017</w:t>
                            </w:r>
                          </w:p>
                          <w:p w14:paraId="414B70FC" w14:textId="3F19472A" w:rsidR="00FA2417" w:rsidRPr="00FB3E76"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Specification of EIRP spherical coverage requirement</w:t>
                            </w:r>
                            <w:r>
                              <w:rPr>
                                <w:lang w:val="en-US"/>
                              </w:rPr>
                              <w:t xml:space="preserve"> should be finalized in RAN4#85</w:t>
                            </w:r>
                          </w:p>
                        </w:txbxContent>
                      </wps:txbx>
                      <wps:bodyPr rot="0" vert="horz" wrap="square" lIns="91440" tIns="45720" rIns="91440" bIns="45720" anchor="t" anchorCtr="0" upright="1">
                        <a:spAutoFit/>
                      </wps:bodyPr>
                    </wps:wsp>
                  </a:graphicData>
                </a:graphic>
              </wp:inline>
            </w:drawing>
          </mc:Choice>
          <mc:Fallback>
            <w:pict>
              <v:shapetype w14:anchorId="389997F6" id="_x0000_t202" coordsize="21600,21600" o:spt="202" path="m,l,21600r21600,l21600,xe">
                <v:stroke joinstyle="miter"/>
                <v:path gradientshapeok="t" o:connecttype="rect"/>
              </v:shapetype>
              <v:shape id="Text Box 7" o:spid="_x0000_s1026"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">
                <v:textbox style="mso-fit-shape-to-text:t">
                  <w:txbxContent>
                    <w:p w14:paraId="2A369797" w14:textId="3B8DC8F9" w:rsidR="00FA2417" w:rsidRDefault="00FA2417" w:rsidP="00FB3E76">
                      <w:pPr>
                        <w:overflowPunct/>
                        <w:autoSpaceDE/>
                        <w:autoSpaceDN/>
                        <w:adjustRightInd/>
                        <w:spacing w:after="0" w:line="259" w:lineRule="auto"/>
                        <w:textAlignment w:val="auto"/>
                        <w:rPr>
                          <w:lang w:val="en-US"/>
                        </w:rPr>
                      </w:pPr>
                      <w:r>
                        <w:rPr>
                          <w:lang w:val="en-US"/>
                        </w:rPr>
                        <w:t>Agreements:</w:t>
                      </w:r>
                    </w:p>
                    <w:p w14:paraId="304EE9CA" w14:textId="604C8F04" w:rsidR="00FA2417" w:rsidRPr="00FB3E76"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A single power class is defined for handheld UEs operating in FR2 in Rel-15</w:t>
                      </w:r>
                    </w:p>
                    <w:p w14:paraId="5E6BC68B" w14:textId="77777777" w:rsidR="00FA2417" w:rsidRPr="00FB3E76" w:rsidRDefault="00FA2417" w:rsidP="00FB3E76">
                      <w:pPr>
                        <w:numPr>
                          <w:ilvl w:val="1"/>
                          <w:numId w:val="5"/>
                        </w:numPr>
                        <w:overflowPunct/>
                        <w:autoSpaceDE/>
                        <w:autoSpaceDN/>
                        <w:adjustRightInd/>
                        <w:spacing w:after="0" w:line="259" w:lineRule="auto"/>
                        <w:textAlignment w:val="auto"/>
                        <w:rPr>
                          <w:lang w:val="en-US"/>
                        </w:rPr>
                      </w:pPr>
                      <w:r w:rsidRPr="00FB3E76">
                        <w:rPr>
                          <w:lang w:val="en-US"/>
                        </w:rPr>
                        <w:t>FFS for other UE types</w:t>
                      </w:r>
                    </w:p>
                    <w:p w14:paraId="67ACAC5E" w14:textId="77777777" w:rsidR="00FA2417" w:rsidRPr="00FB3E76"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The power class value is defined as the peak EIRP and is band dependent</w:t>
                      </w:r>
                    </w:p>
                    <w:p w14:paraId="665D853C" w14:textId="77777777" w:rsidR="00FA2417" w:rsidRPr="00FB3E76" w:rsidRDefault="00FA2417" w:rsidP="00FB3E76">
                      <w:pPr>
                        <w:numPr>
                          <w:ilvl w:val="1"/>
                          <w:numId w:val="5"/>
                        </w:numPr>
                        <w:overflowPunct/>
                        <w:autoSpaceDE/>
                        <w:autoSpaceDN/>
                        <w:adjustRightInd/>
                        <w:spacing w:after="0" w:line="259" w:lineRule="auto"/>
                        <w:textAlignment w:val="auto"/>
                        <w:rPr>
                          <w:lang w:val="en-US"/>
                        </w:rPr>
                      </w:pPr>
                      <w:r w:rsidRPr="00FB3E76">
                        <w:rPr>
                          <w:lang w:val="en-US"/>
                        </w:rPr>
                        <w:t>Baseline definition: the peak EIRP requirement is defined as the minimum value with no tolerance; it is bounded by the range of values between 22 dBm and 30.2 dBm</w:t>
                      </w:r>
                    </w:p>
                    <w:p w14:paraId="2CCD4F00" w14:textId="77777777" w:rsidR="00FA2417" w:rsidRPr="00FB3E76"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The requirements on max allowed EIRP and upper limit TRP for handheld UEs are defined as captured in R4-1710081</w:t>
                      </w:r>
                    </w:p>
                    <w:p w14:paraId="6946713C" w14:textId="25D3D472" w:rsidR="00FA2417"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Agreement on the peak EIRP for handheld UEs is sufficient to complete the power class requirement by Dec 2017</w:t>
                      </w:r>
                    </w:p>
                    <w:p w14:paraId="414B70FC" w14:textId="3F19472A" w:rsidR="00FA2417" w:rsidRPr="00FB3E76" w:rsidRDefault="00FA2417" w:rsidP="00FB3E76">
                      <w:pPr>
                        <w:numPr>
                          <w:ilvl w:val="0"/>
                          <w:numId w:val="5"/>
                        </w:numPr>
                        <w:tabs>
                          <w:tab w:val="num" w:pos="720"/>
                        </w:tabs>
                        <w:overflowPunct/>
                        <w:autoSpaceDE/>
                        <w:autoSpaceDN/>
                        <w:adjustRightInd/>
                        <w:spacing w:after="0" w:line="259" w:lineRule="auto"/>
                        <w:textAlignment w:val="auto"/>
                        <w:rPr>
                          <w:lang w:val="en-US"/>
                        </w:rPr>
                      </w:pPr>
                      <w:r w:rsidRPr="00FB3E76">
                        <w:rPr>
                          <w:lang w:val="en-US"/>
                        </w:rPr>
                        <w:t>Specification of EIRP spherical coverage requirement</w:t>
                      </w:r>
                      <w:r>
                        <w:rPr>
                          <w:lang w:val="en-US"/>
                        </w:rPr>
                        <w:t xml:space="preserve"> should be finalized in RAN4#85</w:t>
                      </w:r>
                    </w:p>
                  </w:txbxContent>
                </v:textbox>
                <w10:anchorlock/>
              </v:shape>
            </w:pict>
          </mc:Fallback>
        </mc:AlternateContent>
      </w:r>
    </w:p>
    <w:p w14:paraId="4F70DF64" w14:textId="77777777" w:rsidR="001E535B" w:rsidRPr="002674E6" w:rsidRDefault="001E535B" w:rsidP="00F90EDB">
      <w:pPr>
        <w:spacing w:after="0"/>
        <w:rPr>
          <w:rFonts w:eastAsia="Batang"/>
        </w:rPr>
      </w:pPr>
      <w:r w:rsidRPr="002674E6">
        <w:rPr>
          <w:rFonts w:eastAsia="Batang"/>
          <w:noProof/>
          <w:lang w:val="en-US" w:eastAsia="en-US"/>
        </w:rPr>
        <mc:AlternateContent>
          <mc:Choice Requires="wps">
            <w:drawing>
              <wp:inline distT="0" distB="0" distL="0" distR="0" wp14:anchorId="5952C497" wp14:editId="5D5DFA2C">
                <wp:extent cx="6145530" cy="701749"/>
                <wp:effectExtent l="0" t="0" r="26670" b="2222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701749"/>
                        </a:xfrm>
                        <a:prstGeom prst="rect">
                          <a:avLst/>
                        </a:prstGeom>
                        <a:solidFill>
                          <a:srgbClr val="FFFFFF"/>
                        </a:solidFill>
                        <a:ln w="9525">
                          <a:solidFill>
                            <a:srgbClr val="000000"/>
                          </a:solidFill>
                          <a:miter lim="800000"/>
                          <a:headEnd/>
                          <a:tailEnd/>
                        </a:ln>
                      </wps:spPr>
                      <wps:txbx>
                        <w:txbxContent>
                          <w:p w14:paraId="2209236D" w14:textId="6DBA6E74" w:rsidR="00FA2417" w:rsidRDefault="00FA2417" w:rsidP="001E535B">
                            <w:pPr>
                              <w:overflowPunct/>
                              <w:autoSpaceDE/>
                              <w:autoSpaceDN/>
                              <w:adjustRightInd/>
                              <w:spacing w:after="0" w:line="259" w:lineRule="auto"/>
                              <w:textAlignment w:val="auto"/>
                            </w:pPr>
                            <w:r>
                              <w:t>Work plan for RAN4 #85</w:t>
                            </w:r>
                            <w:r w:rsidRPr="003C3B46">
                              <w:rPr>
                                <w:rFonts w:hint="eastAsia"/>
                              </w:rPr>
                              <w:t>:</w:t>
                            </w:r>
                            <w:r w:rsidRPr="006C635D">
                              <w:t xml:space="preserve"> </w:t>
                            </w:r>
                          </w:p>
                          <w:p w14:paraId="45243F51" w14:textId="77777777" w:rsidR="00FA2417" w:rsidRPr="001F4ACD" w:rsidRDefault="00FA2417" w:rsidP="001F4ACD">
                            <w:pPr>
                              <w:pStyle w:val="ListParagraph"/>
                              <w:numPr>
                                <w:ilvl w:val="0"/>
                                <w:numId w:val="16"/>
                              </w:numPr>
                              <w:spacing w:line="259" w:lineRule="auto"/>
                              <w:ind w:left="360"/>
                              <w:rPr>
                                <w:lang w:val="en-US"/>
                              </w:rPr>
                            </w:pPr>
                            <w:r w:rsidRPr="001F4ACD">
                              <w:rPr>
                                <w:lang w:val="en-US"/>
                              </w:rPr>
                              <w:t xml:space="preserve">Finalize the </w:t>
                            </w:r>
                            <w:r w:rsidRPr="001F4ACD">
                              <w:rPr>
                                <w:b/>
                                <w:lang w:val="en-US"/>
                              </w:rPr>
                              <w:t>peak EIRP</w:t>
                            </w:r>
                            <w:r w:rsidRPr="001F4ACD">
                              <w:rPr>
                                <w:lang w:val="en-US"/>
                              </w:rPr>
                              <w:t xml:space="preserve"> requirement for handheld UEs</w:t>
                            </w:r>
                          </w:p>
                          <w:p w14:paraId="1A9DD986" w14:textId="77777777" w:rsidR="00FA2417" w:rsidRPr="001F4ACD" w:rsidRDefault="00FA2417" w:rsidP="001F4ACD">
                            <w:pPr>
                              <w:pStyle w:val="ListParagraph"/>
                              <w:numPr>
                                <w:ilvl w:val="0"/>
                                <w:numId w:val="16"/>
                              </w:numPr>
                              <w:spacing w:line="259" w:lineRule="auto"/>
                              <w:ind w:left="360"/>
                              <w:rPr>
                                <w:lang w:val="en-US"/>
                              </w:rPr>
                            </w:pPr>
                            <w:r w:rsidRPr="001F4ACD">
                              <w:rPr>
                                <w:lang w:val="en-US"/>
                              </w:rPr>
                              <w:t>Initial discussion of simulation results for spherical coverage</w:t>
                            </w:r>
                          </w:p>
                          <w:p w14:paraId="147CA90B" w14:textId="48E7BF61" w:rsidR="00FA2417" w:rsidRPr="001F4ACD" w:rsidRDefault="00FA2417" w:rsidP="001F4ACD">
                            <w:pPr>
                              <w:pStyle w:val="ListParagraph"/>
                              <w:numPr>
                                <w:ilvl w:val="0"/>
                                <w:numId w:val="16"/>
                              </w:numPr>
                              <w:spacing w:line="259" w:lineRule="auto"/>
                              <w:ind w:left="360"/>
                              <w:rPr>
                                <w:lang w:val="en-US"/>
                              </w:rPr>
                            </w:pPr>
                            <w:r w:rsidRPr="001F4ACD">
                              <w:rPr>
                                <w:lang w:val="en-US"/>
                              </w:rPr>
                              <w:t>Based on the simulation outcome, take a working assumption on the CDF percentile</w:t>
                            </w:r>
                          </w:p>
                        </w:txbxContent>
                      </wps:txbx>
                      <wps:bodyPr rot="0" vert="horz" wrap="square" lIns="91440" tIns="45720" rIns="91440" bIns="45720" anchor="t" anchorCtr="0" upright="1">
                        <a:noAutofit/>
                      </wps:bodyPr>
                    </wps:wsp>
                  </a:graphicData>
                </a:graphic>
              </wp:inline>
            </w:drawing>
          </mc:Choice>
          <mc:Fallback>
            <w:pict>
              <v:shape w14:anchorId="5952C497" id="Text Box 9" o:spid="_x0000_s1027" type="#_x0000_t202" style="width:483.9pt;height: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">
                <v:textbox>
                  <w:txbxContent>
                    <w:p w14:paraId="2209236D" w14:textId="6DBA6E74" w:rsidR="00FA2417" w:rsidRDefault="00FA2417" w:rsidP="001E535B">
                      <w:pPr>
                        <w:overflowPunct/>
                        <w:autoSpaceDE/>
                        <w:autoSpaceDN/>
                        <w:adjustRightInd/>
                        <w:spacing w:after="0" w:line="259" w:lineRule="auto"/>
                        <w:textAlignment w:val="auto"/>
                      </w:pPr>
                      <w:r>
                        <w:t>Work plan for RAN4 #85</w:t>
                      </w:r>
                      <w:r w:rsidRPr="003C3B46">
                        <w:rPr>
                          <w:rFonts w:hint="eastAsia"/>
                        </w:rPr>
                        <w:t>:</w:t>
                      </w:r>
                      <w:r w:rsidRPr="006C635D">
                        <w:t xml:space="preserve"> </w:t>
                      </w:r>
                    </w:p>
                    <w:p w14:paraId="45243F51" w14:textId="77777777" w:rsidR="00FA2417" w:rsidRPr="001F4ACD" w:rsidRDefault="00FA2417" w:rsidP="001F4ACD">
                      <w:pPr>
                        <w:pStyle w:val="ListParagraph"/>
                        <w:numPr>
                          <w:ilvl w:val="0"/>
                          <w:numId w:val="16"/>
                        </w:numPr>
                        <w:spacing w:line="259" w:lineRule="auto"/>
                        <w:ind w:left="360"/>
                        <w:rPr>
                          <w:lang w:val="en-US"/>
                        </w:rPr>
                      </w:pPr>
                      <w:r w:rsidRPr="001F4ACD">
                        <w:rPr>
                          <w:lang w:val="en-US"/>
                        </w:rPr>
                        <w:t xml:space="preserve">Finalize the </w:t>
                      </w:r>
                      <w:r w:rsidRPr="001F4ACD">
                        <w:rPr>
                          <w:b/>
                          <w:lang w:val="en-US"/>
                        </w:rPr>
                        <w:t>peak EIRP</w:t>
                      </w:r>
                      <w:r w:rsidRPr="001F4ACD">
                        <w:rPr>
                          <w:lang w:val="en-US"/>
                        </w:rPr>
                        <w:t xml:space="preserve"> requirement for handheld UEs</w:t>
                      </w:r>
                    </w:p>
                    <w:p w14:paraId="1A9DD986" w14:textId="77777777" w:rsidR="00FA2417" w:rsidRPr="001F4ACD" w:rsidRDefault="00FA2417" w:rsidP="001F4ACD">
                      <w:pPr>
                        <w:pStyle w:val="ListParagraph"/>
                        <w:numPr>
                          <w:ilvl w:val="0"/>
                          <w:numId w:val="16"/>
                        </w:numPr>
                        <w:spacing w:line="259" w:lineRule="auto"/>
                        <w:ind w:left="360"/>
                        <w:rPr>
                          <w:lang w:val="en-US"/>
                        </w:rPr>
                      </w:pPr>
                      <w:r w:rsidRPr="001F4ACD">
                        <w:rPr>
                          <w:lang w:val="en-US"/>
                        </w:rPr>
                        <w:t>Initial discussion of simulation results for spherical coverage</w:t>
                      </w:r>
                    </w:p>
                    <w:p w14:paraId="147CA90B" w14:textId="48E7BF61" w:rsidR="00FA2417" w:rsidRPr="001F4ACD" w:rsidRDefault="00FA2417" w:rsidP="001F4ACD">
                      <w:pPr>
                        <w:pStyle w:val="ListParagraph"/>
                        <w:numPr>
                          <w:ilvl w:val="0"/>
                          <w:numId w:val="16"/>
                        </w:numPr>
                        <w:spacing w:line="259" w:lineRule="auto"/>
                        <w:ind w:left="360"/>
                        <w:rPr>
                          <w:lang w:val="en-US"/>
                        </w:rPr>
                      </w:pPr>
                      <w:r w:rsidRPr="001F4ACD">
                        <w:rPr>
                          <w:lang w:val="en-US"/>
                        </w:rPr>
                        <w:t>Based on the simulation outcome, take a working assumption on the CDF percentile</w:t>
                      </w:r>
                    </w:p>
                  </w:txbxContent>
                </v:textbox>
                <w10:anchorlock/>
              </v:shape>
            </w:pict>
          </mc:Fallback>
        </mc:AlternateContent>
      </w:r>
    </w:p>
    <w:p w14:paraId="3836DD10" w14:textId="77777777" w:rsidR="001E535B" w:rsidRPr="0099563D" w:rsidRDefault="001E535B" w:rsidP="00716E78">
      <w:pPr>
        <w:rPr>
          <w:rFonts w:eastAsia="Batang"/>
        </w:rPr>
      </w:pPr>
    </w:p>
    <w:p w14:paraId="2BCB9192" w14:textId="66806889" w:rsidR="000918C5" w:rsidRDefault="004D7331" w:rsidP="000918C5">
      <w:pPr>
        <w:pStyle w:val="Heading2"/>
        <w:rPr>
          <w:rFonts w:eastAsia="Batang"/>
        </w:rPr>
      </w:pPr>
      <w:r>
        <w:rPr>
          <w:rFonts w:eastAsia="Batang"/>
        </w:rPr>
        <w:t>2.2</w:t>
      </w:r>
      <w:r w:rsidR="000918C5">
        <w:rPr>
          <w:rFonts w:eastAsia="Batang"/>
        </w:rPr>
        <w:tab/>
      </w:r>
      <w:r w:rsidR="003C4EA3">
        <w:rPr>
          <w:rFonts w:eastAsia="Batang"/>
        </w:rPr>
        <w:t xml:space="preserve">Derivation of </w:t>
      </w:r>
      <w:r w:rsidR="006B7454">
        <w:rPr>
          <w:rFonts w:eastAsia="Batang"/>
        </w:rPr>
        <w:t xml:space="preserve">peak </w:t>
      </w:r>
      <w:r w:rsidR="003C4EA3">
        <w:rPr>
          <w:rFonts w:eastAsia="Batang"/>
        </w:rPr>
        <w:t>EIRP</w:t>
      </w:r>
    </w:p>
    <w:p w14:paraId="39AE4CC1" w14:textId="2B78F1DC" w:rsidR="005E4A2E" w:rsidRDefault="005E4A2E" w:rsidP="003E7B37">
      <w:pPr>
        <w:spacing w:after="0"/>
        <w:rPr>
          <w:rFonts w:eastAsia="Batang"/>
        </w:rPr>
      </w:pPr>
      <w:r>
        <w:rPr>
          <w:rFonts w:eastAsia="Batang"/>
        </w:rPr>
        <w:t>For our discussions, i</w:t>
      </w:r>
      <w:r w:rsidR="00A45612">
        <w:rPr>
          <w:rFonts w:eastAsia="Batang"/>
        </w:rPr>
        <w:t>t</w:t>
      </w:r>
      <w:r w:rsidR="000918C5">
        <w:rPr>
          <w:rFonts w:eastAsia="Batang"/>
        </w:rPr>
        <w:t xml:space="preserve"> </w:t>
      </w:r>
      <w:r w:rsidR="00A45612">
        <w:rPr>
          <w:rFonts w:eastAsia="Batang"/>
        </w:rPr>
        <w:t xml:space="preserve">important to </w:t>
      </w:r>
      <w:r w:rsidR="000918C5">
        <w:rPr>
          <w:rFonts w:eastAsia="Batang"/>
        </w:rPr>
        <w:t xml:space="preserve">separate the specification of a minimum requirement from a </w:t>
      </w:r>
      <w:r>
        <w:rPr>
          <w:rFonts w:eastAsia="Batang"/>
        </w:rPr>
        <w:t>specific</w:t>
      </w:r>
      <w:r w:rsidR="000918C5">
        <w:rPr>
          <w:rFonts w:eastAsia="Batang"/>
        </w:rPr>
        <w:t xml:space="preserve"> implementation. </w:t>
      </w:r>
      <w:r w:rsidR="00A45612">
        <w:rPr>
          <w:rFonts w:eastAsia="Batang"/>
        </w:rPr>
        <w:t>T</w:t>
      </w:r>
      <w:r w:rsidR="000918C5">
        <w:rPr>
          <w:rFonts w:eastAsia="Batang"/>
        </w:rPr>
        <w:t xml:space="preserve">o achieve this </w:t>
      </w:r>
      <w:r>
        <w:rPr>
          <w:rFonts w:eastAsia="Batang"/>
        </w:rPr>
        <w:t>distinction</w:t>
      </w:r>
      <w:r w:rsidR="00A45612">
        <w:rPr>
          <w:rFonts w:eastAsia="Batang"/>
        </w:rPr>
        <w:t>,</w:t>
      </w:r>
      <w:r w:rsidR="000918C5">
        <w:rPr>
          <w:rFonts w:eastAsia="Batang"/>
        </w:rPr>
        <w:t xml:space="preserve"> </w:t>
      </w:r>
      <w:r w:rsidR="00A45612">
        <w:rPr>
          <w:rFonts w:eastAsia="Batang"/>
        </w:rPr>
        <w:t>we</w:t>
      </w:r>
      <w:r w:rsidR="000918C5">
        <w:rPr>
          <w:rFonts w:eastAsia="Batang"/>
        </w:rPr>
        <w:t xml:space="preserve"> derive minimum required values for a range of parameters derived from the common UE architecture</w:t>
      </w:r>
      <w:r>
        <w:rPr>
          <w:rFonts w:eastAsia="Batang"/>
        </w:rPr>
        <w:t xml:space="preserve"> [</w:t>
      </w:r>
      <w:r w:rsidR="00177950">
        <w:rPr>
          <w:rFonts w:eastAsia="Batang"/>
        </w:rPr>
        <w:t>4</w:t>
      </w:r>
      <w:r>
        <w:rPr>
          <w:rFonts w:eastAsia="Batang"/>
        </w:rPr>
        <w:t>]</w:t>
      </w:r>
      <w:r w:rsidR="000918C5">
        <w:rPr>
          <w:rFonts w:eastAsia="Batang"/>
        </w:rPr>
        <w:t>.</w:t>
      </w:r>
      <w:r w:rsidR="00A45612">
        <w:rPr>
          <w:rFonts w:eastAsia="Batang"/>
        </w:rPr>
        <w:t xml:space="preserve"> </w:t>
      </w:r>
      <w:r>
        <w:rPr>
          <w:rFonts w:eastAsia="Batang"/>
        </w:rPr>
        <w:t xml:space="preserve">Also, focus is placed on the worst-case scenario of a dual-band design at 28 GHz and </w:t>
      </w:r>
      <w:r>
        <w:rPr>
          <w:rFonts w:eastAsia="Batang"/>
        </w:rPr>
        <w:lastRenderedPageBreak/>
        <w:t xml:space="preserve">39 GHz, respectively. To set a common reference point for </w:t>
      </w:r>
      <w:r w:rsidR="00F35551">
        <w:rPr>
          <w:rFonts w:eastAsia="Batang"/>
        </w:rPr>
        <w:t xml:space="preserve">the </w:t>
      </w:r>
      <w:r w:rsidR="000918C5">
        <w:rPr>
          <w:rFonts w:eastAsia="Batang"/>
        </w:rPr>
        <w:t xml:space="preserve">UE output power values, we </w:t>
      </w:r>
      <w:r>
        <w:rPr>
          <w:rFonts w:eastAsia="Batang"/>
        </w:rPr>
        <w:t>provide a comprehensive list</w:t>
      </w:r>
      <w:r w:rsidR="00F35551">
        <w:rPr>
          <w:rFonts w:eastAsia="Batang"/>
        </w:rPr>
        <w:t xml:space="preserve"> </w:t>
      </w:r>
      <w:r>
        <w:rPr>
          <w:rFonts w:eastAsia="Batang"/>
        </w:rPr>
        <w:t>of parameter</w:t>
      </w:r>
      <w:r w:rsidR="000918C5">
        <w:rPr>
          <w:rFonts w:eastAsia="Batang"/>
        </w:rPr>
        <w:t xml:space="preserve">s </w:t>
      </w:r>
      <w:r>
        <w:rPr>
          <w:rFonts w:eastAsia="Batang"/>
        </w:rPr>
        <w:t>in Table 1</w:t>
      </w:r>
      <w:r w:rsidR="000918C5">
        <w:rPr>
          <w:rFonts w:eastAsia="Batang"/>
        </w:rPr>
        <w:t>.</w:t>
      </w:r>
      <w:r>
        <w:rPr>
          <w:rFonts w:eastAsia="Batang"/>
        </w:rPr>
        <w:t xml:space="preserve"> </w:t>
      </w:r>
      <w:r w:rsidR="006B7454">
        <w:rPr>
          <w:rFonts w:eastAsia="Batang"/>
        </w:rPr>
        <w:t>Peak</w:t>
      </w:r>
      <w:r w:rsidR="009F7389" w:rsidRPr="009F7389">
        <w:rPr>
          <w:rFonts w:eastAsia="Batang"/>
        </w:rPr>
        <w:t xml:space="preserve"> EIRP of the UE is defined in the direction wh</w:t>
      </w:r>
      <w:r w:rsidR="00352A34">
        <w:rPr>
          <w:rFonts w:eastAsia="Batang"/>
        </w:rPr>
        <w:t>ere</w:t>
      </w:r>
      <w:r w:rsidR="009F7389" w:rsidRPr="009F7389">
        <w:rPr>
          <w:rFonts w:eastAsia="Batang"/>
        </w:rPr>
        <w:t xml:space="preserve"> </w:t>
      </w:r>
      <w:r w:rsidR="00352A34">
        <w:rPr>
          <w:rFonts w:eastAsia="Batang"/>
        </w:rPr>
        <w:t xml:space="preserve">peak </w:t>
      </w:r>
      <w:r w:rsidR="009F7389" w:rsidRPr="009F7389">
        <w:rPr>
          <w:rFonts w:eastAsia="Batang"/>
        </w:rPr>
        <w:t>gain</w:t>
      </w:r>
      <w:r>
        <w:rPr>
          <w:rFonts w:eastAsia="Batang"/>
        </w:rPr>
        <w:t xml:space="preserve"> </w:t>
      </w:r>
      <w:r w:rsidR="00352A34">
        <w:rPr>
          <w:rFonts w:eastAsia="Batang"/>
        </w:rPr>
        <w:t>is achieved.</w:t>
      </w:r>
    </w:p>
    <w:p w14:paraId="03D3076E" w14:textId="77777777" w:rsidR="003E7B37" w:rsidRDefault="003E7B37" w:rsidP="003E7B37">
      <w:pPr>
        <w:spacing w:after="0"/>
        <w:rPr>
          <w:rFonts w:eastAsia="Batang"/>
        </w:rPr>
      </w:pPr>
    </w:p>
    <w:p w14:paraId="0969CCD4" w14:textId="6737433B" w:rsidR="00AC1384" w:rsidRDefault="00AC1384" w:rsidP="003E7B37">
      <w:pPr>
        <w:jc w:val="center"/>
        <w:rPr>
          <w:b/>
        </w:rPr>
      </w:pPr>
      <w:r w:rsidRPr="00AC1384">
        <w:rPr>
          <w:b/>
        </w:rPr>
        <w:t xml:space="preserve">Table </w:t>
      </w:r>
      <w:r w:rsidRPr="00AC1384">
        <w:rPr>
          <w:b/>
        </w:rPr>
        <w:fldChar w:fldCharType="begin"/>
      </w:r>
      <w:r w:rsidRPr="00AC1384">
        <w:rPr>
          <w:b/>
        </w:rPr>
        <w:instrText xml:space="preserve"> SEQ Table \* ARABIC </w:instrText>
      </w:r>
      <w:r w:rsidRPr="00AC1384">
        <w:rPr>
          <w:b/>
        </w:rPr>
        <w:fldChar w:fldCharType="separate"/>
      </w:r>
      <w:r w:rsidR="005B7CD5">
        <w:rPr>
          <w:b/>
          <w:noProof/>
        </w:rPr>
        <w:t>1</w:t>
      </w:r>
      <w:r w:rsidRPr="00AC1384">
        <w:rPr>
          <w:b/>
        </w:rPr>
        <w:fldChar w:fldCharType="end"/>
      </w:r>
      <w:r w:rsidR="00DB3C18">
        <w:rPr>
          <w:b/>
        </w:rPr>
        <w:t xml:space="preserve">: </w:t>
      </w:r>
      <w:r w:rsidR="006B7454">
        <w:rPr>
          <w:b/>
        </w:rPr>
        <w:t>Peak</w:t>
      </w:r>
      <w:r w:rsidR="006B7454" w:rsidRPr="004858F4">
        <w:rPr>
          <w:b/>
        </w:rPr>
        <w:t xml:space="preserve"> </w:t>
      </w:r>
      <w:r w:rsidR="004858F4" w:rsidRPr="004858F4">
        <w:rPr>
          <w:b/>
        </w:rPr>
        <w:t>EIRP: derivation of nominal, tolerance, and minimum values</w:t>
      </w:r>
    </w:p>
    <w:tbl>
      <w:tblPr>
        <w:tblW w:w="10615" w:type="dxa"/>
        <w:tblInd w:w="-495" w:type="dxa"/>
        <w:tblLook w:val="04A0" w:firstRow="1" w:lastRow="0" w:firstColumn="1" w:lastColumn="0" w:noHBand="0" w:noVBand="1"/>
      </w:tblPr>
      <w:tblGrid>
        <w:gridCol w:w="2515"/>
        <w:gridCol w:w="634"/>
        <w:gridCol w:w="896"/>
        <w:gridCol w:w="1176"/>
        <w:gridCol w:w="848"/>
        <w:gridCol w:w="1216"/>
        <w:gridCol w:w="3330"/>
      </w:tblGrid>
      <w:tr w:rsidR="00B75493" w:rsidRPr="00B75493" w14:paraId="7DBF564F" w14:textId="77777777" w:rsidTr="00F90EDB">
        <w:trPr>
          <w:trHeight w:val="620"/>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BD5CD4" w14:textId="77777777" w:rsidR="00B75493" w:rsidRPr="00B75493" w:rsidRDefault="00B75493" w:rsidP="00B75493">
            <w:pPr>
              <w:overflowPunct/>
              <w:autoSpaceDE/>
              <w:autoSpaceDN/>
              <w:adjustRightInd/>
              <w:spacing w:after="0"/>
              <w:textAlignment w:val="auto"/>
              <w:rPr>
                <w:rFonts w:ascii="Arial" w:hAnsi="Arial" w:cs="Arial"/>
                <w:b/>
                <w:bCs/>
                <w:color w:val="000000"/>
                <w:sz w:val="16"/>
                <w:szCs w:val="16"/>
                <w:lang w:val="en-US" w:eastAsia="en-US"/>
              </w:rPr>
            </w:pPr>
            <w:r w:rsidRPr="00B75493">
              <w:rPr>
                <w:rFonts w:ascii="Arial" w:hAnsi="Arial" w:cs="Arial"/>
                <w:b/>
                <w:bCs/>
                <w:color w:val="000000"/>
                <w:sz w:val="16"/>
                <w:szCs w:val="16"/>
                <w:lang w:val="en-US" w:eastAsia="en-US"/>
              </w:rPr>
              <w:t>Parameter</w:t>
            </w:r>
          </w:p>
        </w:tc>
        <w:tc>
          <w:tcPr>
            <w:tcW w:w="6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9F084F" w14:textId="77777777" w:rsidR="00B75493" w:rsidRPr="00B75493" w:rsidRDefault="00B75493" w:rsidP="00B75493">
            <w:pPr>
              <w:overflowPunct/>
              <w:autoSpaceDE/>
              <w:autoSpaceDN/>
              <w:adjustRightInd/>
              <w:spacing w:after="0"/>
              <w:textAlignment w:val="auto"/>
              <w:rPr>
                <w:rFonts w:ascii="Arial" w:hAnsi="Arial" w:cs="Arial"/>
                <w:b/>
                <w:bCs/>
                <w:color w:val="000000"/>
                <w:sz w:val="16"/>
                <w:szCs w:val="16"/>
                <w:lang w:val="en-US" w:eastAsia="en-US"/>
              </w:rPr>
            </w:pPr>
            <w:r w:rsidRPr="00B75493">
              <w:rPr>
                <w:rFonts w:ascii="Arial" w:hAnsi="Arial" w:cs="Arial"/>
                <w:b/>
                <w:bCs/>
                <w:color w:val="000000"/>
                <w:sz w:val="16"/>
                <w:szCs w:val="16"/>
                <w:lang w:val="en-US" w:eastAsia="en-US"/>
              </w:rPr>
              <w:t>Unit</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0E89A2" w14:textId="77777777" w:rsidR="00B75493" w:rsidRPr="00B75493" w:rsidRDefault="00B75493" w:rsidP="00B75493">
            <w:pPr>
              <w:overflowPunct/>
              <w:autoSpaceDE/>
              <w:autoSpaceDN/>
              <w:adjustRightInd/>
              <w:spacing w:after="0"/>
              <w:textAlignment w:val="auto"/>
              <w:rPr>
                <w:rFonts w:ascii="Arial" w:hAnsi="Arial" w:cs="Arial"/>
                <w:b/>
                <w:bCs/>
                <w:color w:val="000000"/>
                <w:sz w:val="16"/>
                <w:szCs w:val="16"/>
                <w:lang w:val="en-US" w:eastAsia="en-US"/>
              </w:rPr>
            </w:pPr>
            <w:r w:rsidRPr="00B75493">
              <w:rPr>
                <w:rFonts w:ascii="Arial" w:hAnsi="Arial" w:cs="Arial"/>
                <w:b/>
                <w:bCs/>
                <w:color w:val="000000"/>
                <w:sz w:val="16"/>
                <w:szCs w:val="16"/>
                <w:lang w:val="en-US" w:eastAsia="en-US"/>
              </w:rPr>
              <w:t>Nominal value</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6C2B18A" w14:textId="77777777" w:rsidR="00B75493" w:rsidRPr="00B75493" w:rsidRDefault="00B75493" w:rsidP="00B75493">
            <w:pPr>
              <w:overflowPunct/>
              <w:autoSpaceDE/>
              <w:autoSpaceDN/>
              <w:adjustRightInd/>
              <w:spacing w:after="0"/>
              <w:textAlignment w:val="auto"/>
              <w:rPr>
                <w:rFonts w:ascii="Arial" w:hAnsi="Arial" w:cs="Arial"/>
                <w:b/>
                <w:bCs/>
                <w:color w:val="000000"/>
                <w:sz w:val="16"/>
                <w:szCs w:val="16"/>
                <w:lang w:val="en-US" w:eastAsia="en-US"/>
              </w:rPr>
            </w:pPr>
            <w:r w:rsidRPr="00B75493">
              <w:rPr>
                <w:rFonts w:ascii="Arial" w:hAnsi="Arial" w:cs="Arial"/>
                <w:b/>
                <w:bCs/>
                <w:color w:val="000000"/>
                <w:sz w:val="16"/>
                <w:szCs w:val="16"/>
                <w:lang w:val="en-US" w:eastAsia="en-US"/>
              </w:rPr>
              <w:t>Contribution to tolerance</w:t>
            </w:r>
          </w:p>
        </w:tc>
        <w:tc>
          <w:tcPr>
            <w:tcW w:w="84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21E2FC" w14:textId="77777777" w:rsidR="00B75493" w:rsidRPr="00B75493" w:rsidRDefault="00B75493" w:rsidP="00B75493">
            <w:pPr>
              <w:overflowPunct/>
              <w:autoSpaceDE/>
              <w:autoSpaceDN/>
              <w:adjustRightInd/>
              <w:spacing w:after="0"/>
              <w:textAlignment w:val="auto"/>
              <w:rPr>
                <w:rFonts w:ascii="Arial" w:hAnsi="Arial" w:cs="Arial"/>
                <w:b/>
                <w:bCs/>
                <w:color w:val="000000"/>
                <w:sz w:val="16"/>
                <w:szCs w:val="16"/>
                <w:lang w:val="en-US" w:eastAsia="en-US"/>
              </w:rPr>
            </w:pPr>
            <w:r w:rsidRPr="00B75493">
              <w:rPr>
                <w:rFonts w:ascii="Arial" w:hAnsi="Arial" w:cs="Arial"/>
                <w:b/>
                <w:bCs/>
                <w:color w:val="000000"/>
                <w:sz w:val="16"/>
                <w:szCs w:val="16"/>
                <w:lang w:val="en-US" w:eastAsia="en-US"/>
              </w:rPr>
              <w:t>Nominal value</w:t>
            </w:r>
          </w:p>
        </w:tc>
        <w:tc>
          <w:tcPr>
            <w:tcW w:w="12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0DAE17" w14:textId="77777777" w:rsidR="00B75493" w:rsidRPr="00B75493" w:rsidRDefault="00B75493" w:rsidP="00B75493">
            <w:pPr>
              <w:overflowPunct/>
              <w:autoSpaceDE/>
              <w:autoSpaceDN/>
              <w:adjustRightInd/>
              <w:spacing w:after="0"/>
              <w:textAlignment w:val="auto"/>
              <w:rPr>
                <w:rFonts w:ascii="Arial" w:hAnsi="Arial" w:cs="Arial"/>
                <w:b/>
                <w:bCs/>
                <w:color w:val="000000"/>
                <w:sz w:val="16"/>
                <w:szCs w:val="16"/>
                <w:lang w:val="en-US" w:eastAsia="en-US"/>
              </w:rPr>
            </w:pPr>
            <w:r w:rsidRPr="00B75493">
              <w:rPr>
                <w:rFonts w:ascii="Arial" w:hAnsi="Arial" w:cs="Arial"/>
                <w:b/>
                <w:bCs/>
                <w:color w:val="000000"/>
                <w:sz w:val="16"/>
                <w:szCs w:val="16"/>
                <w:lang w:val="en-US" w:eastAsia="en-US"/>
              </w:rPr>
              <w:t>Contribution to tolerance</w:t>
            </w:r>
          </w:p>
        </w:tc>
        <w:tc>
          <w:tcPr>
            <w:tcW w:w="33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DCB2AD" w14:textId="77777777" w:rsidR="00B75493" w:rsidRPr="00B75493" w:rsidRDefault="00B75493" w:rsidP="00B75493">
            <w:pPr>
              <w:overflowPunct/>
              <w:autoSpaceDE/>
              <w:autoSpaceDN/>
              <w:adjustRightInd/>
              <w:spacing w:after="0"/>
              <w:textAlignment w:val="auto"/>
              <w:rPr>
                <w:rFonts w:ascii="Arial" w:hAnsi="Arial" w:cs="Arial"/>
                <w:b/>
                <w:bCs/>
                <w:color w:val="000000"/>
                <w:sz w:val="16"/>
                <w:szCs w:val="16"/>
                <w:lang w:val="en-US" w:eastAsia="en-US"/>
              </w:rPr>
            </w:pPr>
            <w:r w:rsidRPr="00B75493">
              <w:rPr>
                <w:rFonts w:ascii="Arial" w:hAnsi="Arial" w:cs="Arial"/>
                <w:b/>
                <w:bCs/>
                <w:color w:val="000000"/>
                <w:sz w:val="16"/>
                <w:szCs w:val="16"/>
                <w:lang w:val="en-US" w:eastAsia="en-US"/>
              </w:rPr>
              <w:t>Comments</w:t>
            </w:r>
          </w:p>
        </w:tc>
      </w:tr>
      <w:tr w:rsidR="00B75493" w:rsidRPr="00B75493" w14:paraId="1B4061C0"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305F0F22"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Frequency range</w:t>
            </w:r>
          </w:p>
        </w:tc>
        <w:tc>
          <w:tcPr>
            <w:tcW w:w="634" w:type="dxa"/>
            <w:tcBorders>
              <w:top w:val="nil"/>
              <w:left w:val="nil"/>
              <w:bottom w:val="single" w:sz="4" w:space="0" w:color="auto"/>
              <w:right w:val="single" w:sz="4" w:space="0" w:color="auto"/>
            </w:tcBorders>
            <w:shd w:val="clear" w:color="auto" w:fill="auto"/>
            <w:vAlign w:val="center"/>
            <w:hideMark/>
          </w:tcPr>
          <w:p w14:paraId="49D45DB3"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GHz</w:t>
            </w:r>
          </w:p>
        </w:tc>
        <w:tc>
          <w:tcPr>
            <w:tcW w:w="2072" w:type="dxa"/>
            <w:gridSpan w:val="2"/>
            <w:tcBorders>
              <w:top w:val="single" w:sz="4" w:space="0" w:color="auto"/>
              <w:left w:val="nil"/>
              <w:bottom w:val="single" w:sz="4" w:space="0" w:color="auto"/>
              <w:right w:val="single" w:sz="4" w:space="0" w:color="auto"/>
            </w:tcBorders>
            <w:shd w:val="clear" w:color="auto" w:fill="auto"/>
            <w:vAlign w:val="center"/>
            <w:hideMark/>
          </w:tcPr>
          <w:p w14:paraId="731B6767" w14:textId="77777777" w:rsidR="00B75493" w:rsidRPr="00B75493" w:rsidRDefault="00B75493" w:rsidP="00B75493">
            <w:pPr>
              <w:overflowPunct/>
              <w:autoSpaceDE/>
              <w:autoSpaceDN/>
              <w:adjustRightInd/>
              <w:spacing w:after="0"/>
              <w:jc w:val="center"/>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24.25 - 29.5 GHz</w:t>
            </w:r>
          </w:p>
        </w:tc>
        <w:tc>
          <w:tcPr>
            <w:tcW w:w="2064" w:type="dxa"/>
            <w:gridSpan w:val="2"/>
            <w:tcBorders>
              <w:top w:val="single" w:sz="4" w:space="0" w:color="auto"/>
              <w:left w:val="nil"/>
              <w:bottom w:val="single" w:sz="4" w:space="0" w:color="auto"/>
              <w:right w:val="single" w:sz="4" w:space="0" w:color="auto"/>
            </w:tcBorders>
            <w:shd w:val="clear" w:color="auto" w:fill="auto"/>
            <w:vAlign w:val="center"/>
            <w:hideMark/>
          </w:tcPr>
          <w:p w14:paraId="7D5AD047" w14:textId="77777777" w:rsidR="00B75493" w:rsidRPr="00B75493" w:rsidRDefault="00B75493" w:rsidP="00B75493">
            <w:pPr>
              <w:overflowPunct/>
              <w:autoSpaceDE/>
              <w:autoSpaceDN/>
              <w:adjustRightInd/>
              <w:spacing w:after="0"/>
              <w:jc w:val="center"/>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37.0 - 40.0 GHz</w:t>
            </w:r>
          </w:p>
        </w:tc>
        <w:tc>
          <w:tcPr>
            <w:tcW w:w="3330" w:type="dxa"/>
            <w:tcBorders>
              <w:top w:val="nil"/>
              <w:left w:val="nil"/>
              <w:bottom w:val="single" w:sz="4" w:space="0" w:color="auto"/>
              <w:right w:val="single" w:sz="4" w:space="0" w:color="auto"/>
            </w:tcBorders>
            <w:shd w:val="clear" w:color="auto" w:fill="auto"/>
            <w:vAlign w:val="center"/>
            <w:hideMark/>
          </w:tcPr>
          <w:p w14:paraId="1FF5295C"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r>
      <w:tr w:rsidR="00B75493" w:rsidRPr="00B75493" w14:paraId="002D1D00" w14:textId="77777777" w:rsidTr="00F90EDB">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0FF2C67D"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Pout per element</w:t>
            </w:r>
          </w:p>
        </w:tc>
        <w:tc>
          <w:tcPr>
            <w:tcW w:w="634" w:type="dxa"/>
            <w:tcBorders>
              <w:top w:val="nil"/>
              <w:left w:val="nil"/>
              <w:bottom w:val="single" w:sz="4" w:space="0" w:color="auto"/>
              <w:right w:val="single" w:sz="4" w:space="0" w:color="auto"/>
            </w:tcBorders>
            <w:shd w:val="clear" w:color="auto" w:fill="auto"/>
            <w:vAlign w:val="center"/>
            <w:hideMark/>
          </w:tcPr>
          <w:p w14:paraId="6FB564AD"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dBm</w:t>
            </w:r>
          </w:p>
        </w:tc>
        <w:tc>
          <w:tcPr>
            <w:tcW w:w="896" w:type="dxa"/>
            <w:tcBorders>
              <w:top w:val="nil"/>
              <w:left w:val="nil"/>
              <w:bottom w:val="single" w:sz="4" w:space="0" w:color="auto"/>
              <w:right w:val="single" w:sz="4" w:space="0" w:color="auto"/>
            </w:tcBorders>
            <w:shd w:val="clear" w:color="auto" w:fill="auto"/>
            <w:vAlign w:val="center"/>
            <w:hideMark/>
          </w:tcPr>
          <w:p w14:paraId="1CE434B0"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14.00</w:t>
            </w:r>
          </w:p>
        </w:tc>
        <w:tc>
          <w:tcPr>
            <w:tcW w:w="1176" w:type="dxa"/>
            <w:tcBorders>
              <w:top w:val="nil"/>
              <w:left w:val="nil"/>
              <w:bottom w:val="single" w:sz="4" w:space="0" w:color="auto"/>
              <w:right w:val="single" w:sz="4" w:space="0" w:color="auto"/>
            </w:tcBorders>
            <w:shd w:val="clear" w:color="000000" w:fill="D9D9D9"/>
            <w:vAlign w:val="center"/>
            <w:hideMark/>
          </w:tcPr>
          <w:p w14:paraId="79C616E1"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3F68B8DD"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14.00</w:t>
            </w:r>
          </w:p>
        </w:tc>
        <w:tc>
          <w:tcPr>
            <w:tcW w:w="1216" w:type="dxa"/>
            <w:tcBorders>
              <w:top w:val="nil"/>
              <w:left w:val="nil"/>
              <w:bottom w:val="single" w:sz="4" w:space="0" w:color="auto"/>
              <w:right w:val="single" w:sz="4" w:space="0" w:color="auto"/>
            </w:tcBorders>
            <w:shd w:val="clear" w:color="000000" w:fill="D9D9D9"/>
            <w:vAlign w:val="center"/>
            <w:hideMark/>
          </w:tcPr>
          <w:p w14:paraId="2F88CB55"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2DED3593"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Nominal PA output power with standard deviation accounting for temperature, voltage, and process variation in conducted Tx power</w:t>
            </w:r>
          </w:p>
        </w:tc>
      </w:tr>
      <w:tr w:rsidR="00B75493" w:rsidRPr="00B75493" w14:paraId="2C2AF59B"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5DBE3F3F"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of antennas in an array</w:t>
            </w:r>
          </w:p>
        </w:tc>
        <w:tc>
          <w:tcPr>
            <w:tcW w:w="634" w:type="dxa"/>
            <w:tcBorders>
              <w:top w:val="nil"/>
              <w:left w:val="nil"/>
              <w:bottom w:val="single" w:sz="4" w:space="0" w:color="auto"/>
              <w:right w:val="single" w:sz="4" w:space="0" w:color="auto"/>
            </w:tcBorders>
            <w:shd w:val="clear" w:color="auto" w:fill="auto"/>
            <w:hideMark/>
          </w:tcPr>
          <w:p w14:paraId="668D4135"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96" w:type="dxa"/>
            <w:tcBorders>
              <w:top w:val="nil"/>
              <w:left w:val="nil"/>
              <w:bottom w:val="single" w:sz="4" w:space="0" w:color="auto"/>
              <w:right w:val="single" w:sz="4" w:space="0" w:color="auto"/>
            </w:tcBorders>
            <w:shd w:val="clear" w:color="auto" w:fill="auto"/>
            <w:vAlign w:val="center"/>
            <w:hideMark/>
          </w:tcPr>
          <w:p w14:paraId="540B7701"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4</w:t>
            </w:r>
          </w:p>
        </w:tc>
        <w:tc>
          <w:tcPr>
            <w:tcW w:w="1176" w:type="dxa"/>
            <w:tcBorders>
              <w:top w:val="nil"/>
              <w:left w:val="nil"/>
              <w:bottom w:val="single" w:sz="4" w:space="0" w:color="auto"/>
              <w:right w:val="single" w:sz="4" w:space="0" w:color="auto"/>
            </w:tcBorders>
            <w:shd w:val="clear" w:color="000000" w:fill="D9D9D9"/>
            <w:vAlign w:val="center"/>
            <w:hideMark/>
          </w:tcPr>
          <w:p w14:paraId="56E138A7"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19474FF6"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4</w:t>
            </w:r>
          </w:p>
        </w:tc>
        <w:tc>
          <w:tcPr>
            <w:tcW w:w="1216" w:type="dxa"/>
            <w:tcBorders>
              <w:top w:val="nil"/>
              <w:left w:val="nil"/>
              <w:bottom w:val="single" w:sz="4" w:space="0" w:color="auto"/>
              <w:right w:val="single" w:sz="4" w:space="0" w:color="auto"/>
            </w:tcBorders>
            <w:shd w:val="clear" w:color="000000" w:fill="D9D9D9"/>
            <w:vAlign w:val="center"/>
            <w:hideMark/>
          </w:tcPr>
          <w:p w14:paraId="5FD35C6B"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4A8D5CB9"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Assuming array of patches</w:t>
            </w:r>
          </w:p>
        </w:tc>
      </w:tr>
      <w:tr w:rsidR="00B75493" w:rsidRPr="00B75493" w14:paraId="1CEEBFE0" w14:textId="77777777" w:rsidTr="00F90EDB">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071D1154"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Total conducted power per polarization</w:t>
            </w:r>
          </w:p>
        </w:tc>
        <w:tc>
          <w:tcPr>
            <w:tcW w:w="634" w:type="dxa"/>
            <w:tcBorders>
              <w:top w:val="nil"/>
              <w:left w:val="nil"/>
              <w:bottom w:val="single" w:sz="4" w:space="0" w:color="auto"/>
              <w:right w:val="single" w:sz="4" w:space="0" w:color="auto"/>
            </w:tcBorders>
            <w:shd w:val="clear" w:color="auto" w:fill="auto"/>
            <w:hideMark/>
          </w:tcPr>
          <w:p w14:paraId="012E8B14"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dBm</w:t>
            </w:r>
          </w:p>
        </w:tc>
        <w:tc>
          <w:tcPr>
            <w:tcW w:w="896" w:type="dxa"/>
            <w:tcBorders>
              <w:top w:val="nil"/>
              <w:left w:val="nil"/>
              <w:bottom w:val="single" w:sz="4" w:space="0" w:color="auto"/>
              <w:right w:val="single" w:sz="4" w:space="0" w:color="auto"/>
            </w:tcBorders>
            <w:shd w:val="clear" w:color="auto" w:fill="auto"/>
            <w:vAlign w:val="center"/>
            <w:hideMark/>
          </w:tcPr>
          <w:p w14:paraId="719A1D49"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20.00</w:t>
            </w:r>
          </w:p>
        </w:tc>
        <w:tc>
          <w:tcPr>
            <w:tcW w:w="1176" w:type="dxa"/>
            <w:tcBorders>
              <w:top w:val="nil"/>
              <w:left w:val="nil"/>
              <w:bottom w:val="single" w:sz="4" w:space="0" w:color="auto"/>
              <w:right w:val="single" w:sz="4" w:space="0" w:color="auto"/>
            </w:tcBorders>
            <w:shd w:val="clear" w:color="000000" w:fill="FFFFFF"/>
            <w:vAlign w:val="center"/>
            <w:hideMark/>
          </w:tcPr>
          <w:p w14:paraId="40625B01"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-1.00</w:t>
            </w:r>
          </w:p>
        </w:tc>
        <w:tc>
          <w:tcPr>
            <w:tcW w:w="848" w:type="dxa"/>
            <w:tcBorders>
              <w:top w:val="nil"/>
              <w:left w:val="nil"/>
              <w:bottom w:val="single" w:sz="4" w:space="0" w:color="auto"/>
              <w:right w:val="single" w:sz="4" w:space="0" w:color="auto"/>
            </w:tcBorders>
            <w:shd w:val="clear" w:color="auto" w:fill="auto"/>
            <w:vAlign w:val="center"/>
            <w:hideMark/>
          </w:tcPr>
          <w:p w14:paraId="184A0085"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20.00</w:t>
            </w:r>
          </w:p>
        </w:tc>
        <w:tc>
          <w:tcPr>
            <w:tcW w:w="1216" w:type="dxa"/>
            <w:tcBorders>
              <w:top w:val="nil"/>
              <w:left w:val="nil"/>
              <w:bottom w:val="single" w:sz="4" w:space="0" w:color="auto"/>
              <w:right w:val="single" w:sz="4" w:space="0" w:color="auto"/>
            </w:tcBorders>
            <w:shd w:val="clear" w:color="000000" w:fill="FFFFFF"/>
            <w:vAlign w:val="center"/>
            <w:hideMark/>
          </w:tcPr>
          <w:p w14:paraId="6A02A8E8"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-1.00</w:t>
            </w:r>
          </w:p>
        </w:tc>
        <w:tc>
          <w:tcPr>
            <w:tcW w:w="3330" w:type="dxa"/>
            <w:tcBorders>
              <w:top w:val="nil"/>
              <w:left w:val="nil"/>
              <w:bottom w:val="single" w:sz="4" w:space="0" w:color="auto"/>
              <w:right w:val="single" w:sz="4" w:space="0" w:color="auto"/>
            </w:tcBorders>
            <w:shd w:val="clear" w:color="auto" w:fill="auto"/>
            <w:vAlign w:val="center"/>
            <w:hideMark/>
          </w:tcPr>
          <w:p w14:paraId="0316CE23"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Contribution to tolerance accounts for temperature (extreme conditions), voltage, and process variation in conducted Tx power</w:t>
            </w:r>
          </w:p>
        </w:tc>
      </w:tr>
      <w:tr w:rsidR="00AB7022" w:rsidRPr="00B75493" w14:paraId="2AC3CF1A" w14:textId="77777777" w:rsidTr="00F90EDB">
        <w:trPr>
          <w:trHeight w:val="33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0E43BFD5" w14:textId="56E177CD" w:rsidR="00AB7022" w:rsidRPr="00B75493" w:rsidRDefault="00352A34" w:rsidP="00AB7022">
            <w:pPr>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Average</w:t>
            </w:r>
            <w:r w:rsidR="00AB7022" w:rsidRPr="00B75493">
              <w:rPr>
                <w:rFonts w:ascii="Arial" w:hAnsi="Arial" w:cs="Arial"/>
                <w:color w:val="000000"/>
                <w:sz w:val="16"/>
                <w:szCs w:val="16"/>
                <w:lang w:val="en-US" w:eastAsia="en-US"/>
              </w:rPr>
              <w:t xml:space="preserve"> antenna element gain</w:t>
            </w:r>
          </w:p>
        </w:tc>
        <w:tc>
          <w:tcPr>
            <w:tcW w:w="634" w:type="dxa"/>
            <w:tcBorders>
              <w:top w:val="nil"/>
              <w:left w:val="nil"/>
              <w:bottom w:val="single" w:sz="4" w:space="0" w:color="auto"/>
              <w:right w:val="single" w:sz="4" w:space="0" w:color="auto"/>
            </w:tcBorders>
            <w:shd w:val="clear" w:color="auto" w:fill="auto"/>
            <w:vAlign w:val="center"/>
            <w:hideMark/>
          </w:tcPr>
          <w:p w14:paraId="5823157C" w14:textId="77777777" w:rsidR="00AB7022" w:rsidRPr="00B75493" w:rsidRDefault="00AB7022" w:rsidP="00AB7022">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dBi</w:t>
            </w:r>
          </w:p>
        </w:tc>
        <w:tc>
          <w:tcPr>
            <w:tcW w:w="896" w:type="dxa"/>
            <w:tcBorders>
              <w:top w:val="nil"/>
              <w:left w:val="nil"/>
              <w:bottom w:val="single" w:sz="4" w:space="0" w:color="auto"/>
              <w:right w:val="single" w:sz="4" w:space="0" w:color="auto"/>
            </w:tcBorders>
            <w:shd w:val="clear" w:color="auto" w:fill="auto"/>
            <w:vAlign w:val="center"/>
            <w:hideMark/>
          </w:tcPr>
          <w:p w14:paraId="54FC1E59" w14:textId="77777777" w:rsidR="00AB7022" w:rsidRPr="00B75493" w:rsidRDefault="00AB7022" w:rsidP="00AB7022">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4.00</w:t>
            </w:r>
          </w:p>
        </w:tc>
        <w:tc>
          <w:tcPr>
            <w:tcW w:w="1176" w:type="dxa"/>
            <w:tcBorders>
              <w:top w:val="nil"/>
              <w:left w:val="nil"/>
              <w:bottom w:val="single" w:sz="4" w:space="0" w:color="auto"/>
              <w:right w:val="single" w:sz="4" w:space="0" w:color="auto"/>
            </w:tcBorders>
            <w:shd w:val="clear" w:color="auto" w:fill="D9D9D9" w:themeFill="background1" w:themeFillShade="D9"/>
            <w:vAlign w:val="center"/>
            <w:hideMark/>
          </w:tcPr>
          <w:p w14:paraId="6725102D" w14:textId="361416F9" w:rsidR="00AB7022" w:rsidRPr="00B75493" w:rsidRDefault="00AB7022" w:rsidP="00AB7022">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13EA7201" w14:textId="77777777" w:rsidR="00AB7022" w:rsidRPr="00B75493" w:rsidRDefault="00AB7022" w:rsidP="00AB7022">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4.00</w:t>
            </w:r>
          </w:p>
        </w:tc>
        <w:tc>
          <w:tcPr>
            <w:tcW w:w="1216" w:type="dxa"/>
            <w:tcBorders>
              <w:top w:val="nil"/>
              <w:left w:val="nil"/>
              <w:bottom w:val="single" w:sz="4" w:space="0" w:color="auto"/>
              <w:right w:val="single" w:sz="4" w:space="0" w:color="auto"/>
            </w:tcBorders>
            <w:shd w:val="clear" w:color="000000" w:fill="D9D9D9"/>
            <w:vAlign w:val="center"/>
            <w:hideMark/>
          </w:tcPr>
          <w:p w14:paraId="24245A2B" w14:textId="77777777" w:rsidR="00AB7022" w:rsidRPr="00B75493" w:rsidRDefault="00AB7022" w:rsidP="00AB7022">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21A3FA3E" w14:textId="160B7B00" w:rsidR="00AB7022" w:rsidRPr="00B75493" w:rsidRDefault="00AB7022"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xml:space="preserve">Average peak element gain per polarization </w:t>
            </w:r>
            <w:r w:rsidR="009F7389">
              <w:rPr>
                <w:rFonts w:ascii="Arial" w:hAnsi="Arial" w:cs="Arial"/>
                <w:color w:val="000000"/>
                <w:sz w:val="16"/>
                <w:szCs w:val="16"/>
                <w:lang w:val="en-US" w:eastAsia="en-US"/>
              </w:rPr>
              <w:t>in the direction which achieves peak gain</w:t>
            </w:r>
            <w:r w:rsidRPr="00B75493">
              <w:rPr>
                <w:rFonts w:ascii="Arial" w:hAnsi="Arial" w:cs="Arial"/>
                <w:color w:val="000000"/>
                <w:sz w:val="16"/>
                <w:szCs w:val="16"/>
                <w:lang w:val="en-US" w:eastAsia="en-US"/>
              </w:rPr>
              <w:t xml:space="preserve"> of a planar array</w:t>
            </w:r>
          </w:p>
        </w:tc>
      </w:tr>
      <w:tr w:rsidR="00AB7022" w:rsidRPr="00B75493" w14:paraId="39A21F0E" w14:textId="77777777" w:rsidTr="00F90EDB">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34ECE33A" w14:textId="22BDD568" w:rsidR="00AB7022" w:rsidRPr="00B75493" w:rsidRDefault="00AB7022" w:rsidP="00AB7022">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Antenna roll</w:t>
            </w:r>
            <w:r w:rsidR="00352A34">
              <w:rPr>
                <w:rFonts w:ascii="Arial" w:hAnsi="Arial" w:cs="Arial"/>
                <w:color w:val="000000"/>
                <w:sz w:val="16"/>
                <w:szCs w:val="16"/>
                <w:lang w:val="en-US" w:eastAsia="en-US"/>
              </w:rPr>
              <w:t>-</w:t>
            </w:r>
            <w:r w:rsidRPr="00B75493">
              <w:rPr>
                <w:rFonts w:ascii="Arial" w:hAnsi="Arial" w:cs="Arial"/>
                <w:color w:val="000000"/>
                <w:sz w:val="16"/>
                <w:szCs w:val="16"/>
                <w:lang w:val="en-US" w:eastAsia="en-US"/>
              </w:rPr>
              <w:t>off loss versus frequency</w:t>
            </w:r>
          </w:p>
        </w:tc>
        <w:tc>
          <w:tcPr>
            <w:tcW w:w="634" w:type="dxa"/>
            <w:tcBorders>
              <w:top w:val="nil"/>
              <w:left w:val="nil"/>
              <w:bottom w:val="single" w:sz="4" w:space="0" w:color="auto"/>
              <w:right w:val="single" w:sz="4" w:space="0" w:color="auto"/>
            </w:tcBorders>
            <w:shd w:val="clear" w:color="auto" w:fill="auto"/>
            <w:vAlign w:val="center"/>
            <w:hideMark/>
          </w:tcPr>
          <w:p w14:paraId="7ED5E62F" w14:textId="77777777" w:rsidR="00AB7022" w:rsidRPr="00B75493" w:rsidRDefault="00AB7022" w:rsidP="00AB7022">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auto" w:fill="auto"/>
            <w:vAlign w:val="center"/>
            <w:hideMark/>
          </w:tcPr>
          <w:p w14:paraId="6EEC892A" w14:textId="7577566F" w:rsidR="00AB7022" w:rsidRPr="00B75493" w:rsidRDefault="00AB7022" w:rsidP="00FA2417">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A2417">
              <w:rPr>
                <w:rFonts w:ascii="Arial" w:hAnsi="Arial" w:cs="Arial"/>
                <w:color w:val="000000"/>
                <w:sz w:val="16"/>
                <w:szCs w:val="16"/>
                <w:lang w:val="en-US" w:eastAsia="en-US"/>
              </w:rPr>
              <w:t>2</w:t>
            </w:r>
            <w:r w:rsidRPr="00B75493">
              <w:rPr>
                <w:rFonts w:ascii="Arial" w:hAnsi="Arial" w:cs="Arial"/>
                <w:color w:val="000000"/>
                <w:sz w:val="16"/>
                <w:szCs w:val="16"/>
                <w:lang w:val="en-US" w:eastAsia="en-US"/>
              </w:rPr>
              <w:t>.00</w:t>
            </w:r>
          </w:p>
        </w:tc>
        <w:tc>
          <w:tcPr>
            <w:tcW w:w="1176" w:type="dxa"/>
            <w:tcBorders>
              <w:top w:val="nil"/>
              <w:left w:val="nil"/>
              <w:bottom w:val="single" w:sz="4" w:space="0" w:color="auto"/>
              <w:right w:val="single" w:sz="4" w:space="0" w:color="auto"/>
            </w:tcBorders>
            <w:shd w:val="clear" w:color="auto" w:fill="D9D9D9" w:themeFill="background1" w:themeFillShade="D9"/>
            <w:vAlign w:val="center"/>
            <w:hideMark/>
          </w:tcPr>
          <w:p w14:paraId="03570646" w14:textId="216B8A7A" w:rsidR="00AB7022" w:rsidRPr="00B75493" w:rsidRDefault="00AB7022" w:rsidP="00AB7022">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3C986234" w14:textId="592D17DB" w:rsidR="00AB7022" w:rsidRPr="00B75493" w:rsidRDefault="00AB7022" w:rsidP="00FA2417">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A2417">
              <w:rPr>
                <w:rFonts w:ascii="Arial" w:hAnsi="Arial" w:cs="Arial"/>
                <w:color w:val="000000"/>
                <w:sz w:val="16"/>
                <w:szCs w:val="16"/>
                <w:lang w:val="en-US" w:eastAsia="en-US"/>
              </w:rPr>
              <w:t>2</w:t>
            </w:r>
            <w:r w:rsidRPr="00B75493">
              <w:rPr>
                <w:rFonts w:ascii="Arial" w:hAnsi="Arial" w:cs="Arial"/>
                <w:color w:val="000000"/>
                <w:sz w:val="16"/>
                <w:szCs w:val="16"/>
                <w:lang w:val="en-US" w:eastAsia="en-US"/>
              </w:rPr>
              <w:t>.50</w:t>
            </w:r>
          </w:p>
        </w:tc>
        <w:tc>
          <w:tcPr>
            <w:tcW w:w="1216" w:type="dxa"/>
            <w:tcBorders>
              <w:top w:val="nil"/>
              <w:left w:val="nil"/>
              <w:bottom w:val="single" w:sz="4" w:space="0" w:color="auto"/>
              <w:right w:val="single" w:sz="4" w:space="0" w:color="auto"/>
            </w:tcBorders>
            <w:shd w:val="clear" w:color="000000" w:fill="D9D9D9"/>
            <w:vAlign w:val="center"/>
            <w:hideMark/>
          </w:tcPr>
          <w:p w14:paraId="3CFC3643" w14:textId="77777777" w:rsidR="00AB7022" w:rsidRPr="00B75493" w:rsidRDefault="00AB7022" w:rsidP="00AB7022">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32BA8C38" w14:textId="77777777" w:rsidR="00AB7022" w:rsidRPr="00B75493" w:rsidRDefault="00AB7022"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Accounts for frequency-dependent degradation in element gain and assuming the antenna covers both frequency ranges</w:t>
            </w:r>
          </w:p>
        </w:tc>
      </w:tr>
      <w:tr w:rsidR="00B75493" w:rsidRPr="00B75493" w14:paraId="6E023CD7" w14:textId="77777777" w:rsidTr="00F90EDB">
        <w:trPr>
          <w:trHeight w:val="33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B8E2658"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Realized antenna array gain</w:t>
            </w:r>
          </w:p>
        </w:tc>
        <w:tc>
          <w:tcPr>
            <w:tcW w:w="634" w:type="dxa"/>
            <w:tcBorders>
              <w:top w:val="nil"/>
              <w:left w:val="nil"/>
              <w:bottom w:val="single" w:sz="4" w:space="0" w:color="auto"/>
              <w:right w:val="single" w:sz="4" w:space="0" w:color="auto"/>
            </w:tcBorders>
            <w:shd w:val="clear" w:color="auto" w:fill="auto"/>
            <w:vAlign w:val="center"/>
            <w:hideMark/>
          </w:tcPr>
          <w:p w14:paraId="3761B1AC"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dBi</w:t>
            </w:r>
          </w:p>
        </w:tc>
        <w:tc>
          <w:tcPr>
            <w:tcW w:w="896" w:type="dxa"/>
            <w:tcBorders>
              <w:top w:val="nil"/>
              <w:left w:val="nil"/>
              <w:bottom w:val="single" w:sz="4" w:space="0" w:color="auto"/>
              <w:right w:val="single" w:sz="4" w:space="0" w:color="auto"/>
            </w:tcBorders>
            <w:shd w:val="clear" w:color="auto" w:fill="auto"/>
            <w:vAlign w:val="center"/>
            <w:hideMark/>
          </w:tcPr>
          <w:p w14:paraId="39E9D3B3" w14:textId="6FAA4738" w:rsidR="00B75493" w:rsidRPr="00B75493" w:rsidRDefault="00FA2417" w:rsidP="00B75493">
            <w:pPr>
              <w:overflowPunct/>
              <w:autoSpaceDE/>
              <w:autoSpaceDN/>
              <w:adjustRightInd/>
              <w:spacing w:after="0"/>
              <w:jc w:val="right"/>
              <w:textAlignment w:val="auto"/>
              <w:rPr>
                <w:rFonts w:ascii="Arial" w:hAnsi="Arial" w:cs="Arial"/>
                <w:color w:val="000000"/>
                <w:sz w:val="16"/>
                <w:szCs w:val="16"/>
                <w:lang w:val="en-US" w:eastAsia="en-US"/>
              </w:rPr>
            </w:pPr>
            <w:r>
              <w:rPr>
                <w:rFonts w:ascii="Arial" w:hAnsi="Arial" w:cs="Arial"/>
                <w:color w:val="000000"/>
                <w:sz w:val="16"/>
                <w:szCs w:val="16"/>
                <w:lang w:val="en-US" w:eastAsia="en-US"/>
              </w:rPr>
              <w:t>8</w:t>
            </w:r>
            <w:r w:rsidR="00B75493" w:rsidRPr="00B75493">
              <w:rPr>
                <w:rFonts w:ascii="Arial" w:hAnsi="Arial" w:cs="Arial"/>
                <w:color w:val="000000"/>
                <w:sz w:val="16"/>
                <w:szCs w:val="16"/>
                <w:lang w:val="en-US" w:eastAsia="en-US"/>
              </w:rPr>
              <w:t>.00</w:t>
            </w:r>
          </w:p>
        </w:tc>
        <w:tc>
          <w:tcPr>
            <w:tcW w:w="1176" w:type="dxa"/>
            <w:tcBorders>
              <w:top w:val="nil"/>
              <w:left w:val="nil"/>
              <w:bottom w:val="single" w:sz="4" w:space="0" w:color="auto"/>
              <w:right w:val="single" w:sz="4" w:space="0" w:color="auto"/>
            </w:tcBorders>
            <w:shd w:val="clear" w:color="000000" w:fill="D9D9D9"/>
            <w:vAlign w:val="center"/>
            <w:hideMark/>
          </w:tcPr>
          <w:p w14:paraId="5A6B470D"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6091B36F" w14:textId="7670C275" w:rsidR="00B75493" w:rsidRPr="00B75493" w:rsidRDefault="00FA2417" w:rsidP="00B75493">
            <w:pPr>
              <w:overflowPunct/>
              <w:autoSpaceDE/>
              <w:autoSpaceDN/>
              <w:adjustRightInd/>
              <w:spacing w:after="0"/>
              <w:jc w:val="right"/>
              <w:textAlignment w:val="auto"/>
              <w:rPr>
                <w:rFonts w:ascii="Arial" w:hAnsi="Arial" w:cs="Arial"/>
                <w:color w:val="000000"/>
                <w:sz w:val="16"/>
                <w:szCs w:val="16"/>
                <w:lang w:val="en-US" w:eastAsia="en-US"/>
              </w:rPr>
            </w:pPr>
            <w:r>
              <w:rPr>
                <w:rFonts w:ascii="Arial" w:hAnsi="Arial" w:cs="Arial"/>
                <w:color w:val="000000"/>
                <w:sz w:val="16"/>
                <w:szCs w:val="16"/>
                <w:lang w:val="en-US" w:eastAsia="en-US"/>
              </w:rPr>
              <w:t>7</w:t>
            </w:r>
            <w:r w:rsidR="00B75493" w:rsidRPr="00B75493">
              <w:rPr>
                <w:rFonts w:ascii="Arial" w:hAnsi="Arial" w:cs="Arial"/>
                <w:color w:val="000000"/>
                <w:sz w:val="16"/>
                <w:szCs w:val="16"/>
                <w:lang w:val="en-US" w:eastAsia="en-US"/>
              </w:rPr>
              <w:t>.50</w:t>
            </w:r>
          </w:p>
        </w:tc>
        <w:tc>
          <w:tcPr>
            <w:tcW w:w="1216" w:type="dxa"/>
            <w:tcBorders>
              <w:top w:val="nil"/>
              <w:left w:val="nil"/>
              <w:bottom w:val="single" w:sz="4" w:space="0" w:color="auto"/>
              <w:right w:val="single" w:sz="4" w:space="0" w:color="auto"/>
            </w:tcBorders>
            <w:shd w:val="clear" w:color="000000" w:fill="D9D9D9"/>
            <w:vAlign w:val="center"/>
            <w:hideMark/>
          </w:tcPr>
          <w:p w14:paraId="509D90E0"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47CBBC43" w14:textId="5F687DF0"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Calculated from # antennas, av</w:t>
            </w:r>
            <w:r w:rsidR="00352A34">
              <w:rPr>
                <w:rFonts w:ascii="Arial" w:hAnsi="Arial" w:cs="Arial"/>
                <w:color w:val="000000"/>
                <w:sz w:val="16"/>
                <w:szCs w:val="16"/>
                <w:lang w:val="en-US" w:eastAsia="en-US"/>
              </w:rPr>
              <w:t>era</w:t>
            </w:r>
            <w:r w:rsidRPr="00B75493">
              <w:rPr>
                <w:rFonts w:ascii="Arial" w:hAnsi="Arial" w:cs="Arial"/>
                <w:color w:val="000000"/>
                <w:sz w:val="16"/>
                <w:szCs w:val="16"/>
                <w:lang w:val="en-US" w:eastAsia="en-US"/>
              </w:rPr>
              <w:t>g</w:t>
            </w:r>
            <w:r w:rsidR="00352A34">
              <w:rPr>
                <w:rFonts w:ascii="Arial" w:hAnsi="Arial" w:cs="Arial"/>
                <w:color w:val="000000"/>
                <w:sz w:val="16"/>
                <w:szCs w:val="16"/>
                <w:lang w:val="en-US" w:eastAsia="en-US"/>
              </w:rPr>
              <w:t>e</w:t>
            </w:r>
            <w:r w:rsidRPr="00B75493">
              <w:rPr>
                <w:rFonts w:ascii="Arial" w:hAnsi="Arial" w:cs="Arial"/>
                <w:color w:val="000000"/>
                <w:sz w:val="16"/>
                <w:szCs w:val="16"/>
                <w:lang w:val="en-US" w:eastAsia="en-US"/>
              </w:rPr>
              <w:t xml:space="preserve"> element gain, and roll</w:t>
            </w:r>
            <w:r w:rsidR="00352A34">
              <w:rPr>
                <w:rFonts w:ascii="Arial" w:hAnsi="Arial" w:cs="Arial"/>
                <w:color w:val="000000"/>
                <w:sz w:val="16"/>
                <w:szCs w:val="16"/>
                <w:lang w:val="en-US" w:eastAsia="en-US"/>
              </w:rPr>
              <w:t>-</w:t>
            </w:r>
            <w:r w:rsidRPr="00B75493">
              <w:rPr>
                <w:rFonts w:ascii="Arial" w:hAnsi="Arial" w:cs="Arial"/>
                <w:color w:val="000000"/>
                <w:sz w:val="16"/>
                <w:szCs w:val="16"/>
                <w:lang w:val="en-US" w:eastAsia="en-US"/>
              </w:rPr>
              <w:t>off</w:t>
            </w:r>
          </w:p>
        </w:tc>
      </w:tr>
      <w:tr w:rsidR="00B75493" w:rsidRPr="00B75493" w14:paraId="65BA0414" w14:textId="77777777" w:rsidTr="00F90EDB">
        <w:trPr>
          <w:trHeight w:val="33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6E4F086"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Polarization gain</w:t>
            </w:r>
          </w:p>
        </w:tc>
        <w:tc>
          <w:tcPr>
            <w:tcW w:w="634" w:type="dxa"/>
            <w:tcBorders>
              <w:top w:val="nil"/>
              <w:left w:val="nil"/>
              <w:bottom w:val="single" w:sz="4" w:space="0" w:color="auto"/>
              <w:right w:val="single" w:sz="4" w:space="0" w:color="auto"/>
            </w:tcBorders>
            <w:shd w:val="clear" w:color="auto" w:fill="auto"/>
            <w:vAlign w:val="center"/>
            <w:hideMark/>
          </w:tcPr>
          <w:p w14:paraId="77EC3E96"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auto" w:fill="auto"/>
            <w:vAlign w:val="center"/>
            <w:hideMark/>
          </w:tcPr>
          <w:p w14:paraId="3D29EEA3"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2.80</w:t>
            </w:r>
          </w:p>
        </w:tc>
        <w:tc>
          <w:tcPr>
            <w:tcW w:w="1176" w:type="dxa"/>
            <w:tcBorders>
              <w:top w:val="nil"/>
              <w:left w:val="nil"/>
              <w:bottom w:val="single" w:sz="4" w:space="0" w:color="auto"/>
              <w:right w:val="single" w:sz="4" w:space="0" w:color="auto"/>
            </w:tcBorders>
            <w:shd w:val="clear" w:color="000000" w:fill="D9D9D9"/>
            <w:vAlign w:val="center"/>
            <w:hideMark/>
          </w:tcPr>
          <w:p w14:paraId="0CB4BDA8" w14:textId="65689410"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0CDC92BA"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2.80</w:t>
            </w:r>
          </w:p>
        </w:tc>
        <w:tc>
          <w:tcPr>
            <w:tcW w:w="1216" w:type="dxa"/>
            <w:tcBorders>
              <w:top w:val="nil"/>
              <w:left w:val="nil"/>
              <w:bottom w:val="single" w:sz="4" w:space="0" w:color="auto"/>
              <w:right w:val="single" w:sz="4" w:space="0" w:color="auto"/>
            </w:tcBorders>
            <w:shd w:val="clear" w:color="000000" w:fill="D9D9D9"/>
            <w:vAlign w:val="center"/>
            <w:hideMark/>
          </w:tcPr>
          <w:p w14:paraId="04F5A1FF"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5E545E7F" w14:textId="5DB92127" w:rsidR="00B75493" w:rsidRPr="00B75493" w:rsidRDefault="00352A34" w:rsidP="00F90EDB">
            <w:pPr>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Accounts for non-</w:t>
            </w:r>
            <w:r w:rsidR="00B75493" w:rsidRPr="00B75493">
              <w:rPr>
                <w:rFonts w:ascii="Arial" w:hAnsi="Arial" w:cs="Arial"/>
                <w:color w:val="000000"/>
                <w:sz w:val="16"/>
                <w:szCs w:val="16"/>
                <w:lang w:val="en-US" w:eastAsia="en-US"/>
              </w:rPr>
              <w:t>ideal combining due to antenna isolation</w:t>
            </w:r>
          </w:p>
        </w:tc>
      </w:tr>
      <w:tr w:rsidR="00B75493" w:rsidRPr="00B75493" w14:paraId="77D00B29" w14:textId="77777777" w:rsidTr="00F90EDB">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2C3B5A38"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Mismatch and transmission line loss including load pull</w:t>
            </w:r>
          </w:p>
        </w:tc>
        <w:tc>
          <w:tcPr>
            <w:tcW w:w="634" w:type="dxa"/>
            <w:tcBorders>
              <w:top w:val="nil"/>
              <w:left w:val="nil"/>
              <w:bottom w:val="single" w:sz="4" w:space="0" w:color="auto"/>
              <w:right w:val="single" w:sz="4" w:space="0" w:color="auto"/>
            </w:tcBorders>
            <w:shd w:val="clear" w:color="auto" w:fill="auto"/>
            <w:vAlign w:val="center"/>
            <w:hideMark/>
          </w:tcPr>
          <w:p w14:paraId="7C00DFD8"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auto" w:fill="auto"/>
            <w:vAlign w:val="center"/>
            <w:hideMark/>
          </w:tcPr>
          <w:p w14:paraId="489868F0" w14:textId="3CEEF928"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2.0</w:t>
            </w:r>
            <w:r w:rsidRPr="00B75493">
              <w:rPr>
                <w:rFonts w:ascii="Arial" w:hAnsi="Arial" w:cs="Arial"/>
                <w:color w:val="000000"/>
                <w:sz w:val="16"/>
                <w:szCs w:val="16"/>
                <w:lang w:val="en-US" w:eastAsia="en-US"/>
              </w:rPr>
              <w:t>0</w:t>
            </w:r>
          </w:p>
        </w:tc>
        <w:tc>
          <w:tcPr>
            <w:tcW w:w="1176" w:type="dxa"/>
            <w:tcBorders>
              <w:top w:val="nil"/>
              <w:left w:val="nil"/>
              <w:bottom w:val="single" w:sz="4" w:space="0" w:color="auto"/>
              <w:right w:val="single" w:sz="4" w:space="0" w:color="auto"/>
            </w:tcBorders>
            <w:shd w:val="clear" w:color="auto" w:fill="auto"/>
            <w:vAlign w:val="center"/>
            <w:hideMark/>
          </w:tcPr>
          <w:p w14:paraId="19FEA89D"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-0.60</w:t>
            </w:r>
          </w:p>
        </w:tc>
        <w:tc>
          <w:tcPr>
            <w:tcW w:w="848" w:type="dxa"/>
            <w:tcBorders>
              <w:top w:val="nil"/>
              <w:left w:val="nil"/>
              <w:bottom w:val="single" w:sz="4" w:space="0" w:color="auto"/>
              <w:right w:val="single" w:sz="4" w:space="0" w:color="auto"/>
            </w:tcBorders>
            <w:shd w:val="clear" w:color="auto" w:fill="auto"/>
            <w:vAlign w:val="center"/>
            <w:hideMark/>
          </w:tcPr>
          <w:p w14:paraId="59975850" w14:textId="5261153D"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2</w:t>
            </w: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2</w:t>
            </w:r>
            <w:r w:rsidRPr="00B75493">
              <w:rPr>
                <w:rFonts w:ascii="Arial" w:hAnsi="Arial" w:cs="Arial"/>
                <w:color w:val="000000"/>
                <w:sz w:val="16"/>
                <w:szCs w:val="16"/>
                <w:lang w:val="en-US" w:eastAsia="en-US"/>
              </w:rPr>
              <w:t>0</w:t>
            </w:r>
          </w:p>
        </w:tc>
        <w:tc>
          <w:tcPr>
            <w:tcW w:w="1216" w:type="dxa"/>
            <w:tcBorders>
              <w:top w:val="nil"/>
              <w:left w:val="nil"/>
              <w:bottom w:val="single" w:sz="4" w:space="0" w:color="auto"/>
              <w:right w:val="single" w:sz="4" w:space="0" w:color="auto"/>
            </w:tcBorders>
            <w:shd w:val="clear" w:color="auto" w:fill="auto"/>
            <w:vAlign w:val="center"/>
            <w:hideMark/>
          </w:tcPr>
          <w:p w14:paraId="1E23E7A1"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-0.70</w:t>
            </w:r>
          </w:p>
        </w:tc>
        <w:tc>
          <w:tcPr>
            <w:tcW w:w="3330" w:type="dxa"/>
            <w:tcBorders>
              <w:top w:val="nil"/>
              <w:left w:val="nil"/>
              <w:bottom w:val="single" w:sz="4" w:space="0" w:color="auto"/>
              <w:right w:val="single" w:sz="4" w:space="0" w:color="auto"/>
            </w:tcBorders>
            <w:shd w:val="clear" w:color="auto" w:fill="auto"/>
            <w:vAlign w:val="center"/>
            <w:hideMark/>
          </w:tcPr>
          <w:p w14:paraId="6279DAE9"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Array topology dependent, material dependent, transmission line design dependent; includes impact of load pull</w:t>
            </w:r>
          </w:p>
        </w:tc>
      </w:tr>
      <w:tr w:rsidR="00B75493" w:rsidRPr="00B75493" w14:paraId="221CEF34" w14:textId="77777777" w:rsidTr="00F90EDB">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03492107"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Beam forming loss (phase shifter and amplitude error)</w:t>
            </w:r>
          </w:p>
        </w:tc>
        <w:tc>
          <w:tcPr>
            <w:tcW w:w="634" w:type="dxa"/>
            <w:tcBorders>
              <w:top w:val="nil"/>
              <w:left w:val="nil"/>
              <w:bottom w:val="single" w:sz="4" w:space="0" w:color="auto"/>
              <w:right w:val="single" w:sz="4" w:space="0" w:color="auto"/>
            </w:tcBorders>
            <w:shd w:val="clear" w:color="auto" w:fill="auto"/>
            <w:vAlign w:val="center"/>
            <w:hideMark/>
          </w:tcPr>
          <w:p w14:paraId="2784CA35"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000000" w:fill="FFFFFF"/>
            <w:vAlign w:val="center"/>
            <w:hideMark/>
          </w:tcPr>
          <w:p w14:paraId="2C4E23BB"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-0.25</w:t>
            </w:r>
          </w:p>
        </w:tc>
        <w:tc>
          <w:tcPr>
            <w:tcW w:w="1176" w:type="dxa"/>
            <w:tcBorders>
              <w:top w:val="nil"/>
              <w:left w:val="nil"/>
              <w:bottom w:val="single" w:sz="4" w:space="0" w:color="auto"/>
              <w:right w:val="single" w:sz="4" w:space="0" w:color="auto"/>
            </w:tcBorders>
            <w:shd w:val="clear" w:color="000000" w:fill="FFFFFF"/>
            <w:vAlign w:val="center"/>
            <w:hideMark/>
          </w:tcPr>
          <w:p w14:paraId="4CBD8A8F"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-0.25</w:t>
            </w:r>
          </w:p>
        </w:tc>
        <w:tc>
          <w:tcPr>
            <w:tcW w:w="848" w:type="dxa"/>
            <w:tcBorders>
              <w:top w:val="nil"/>
              <w:left w:val="nil"/>
              <w:bottom w:val="single" w:sz="4" w:space="0" w:color="auto"/>
              <w:right w:val="single" w:sz="4" w:space="0" w:color="auto"/>
            </w:tcBorders>
            <w:shd w:val="clear" w:color="000000" w:fill="FFFFFF"/>
            <w:vAlign w:val="center"/>
            <w:hideMark/>
          </w:tcPr>
          <w:p w14:paraId="1E7970AF"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-0.25</w:t>
            </w:r>
          </w:p>
        </w:tc>
        <w:tc>
          <w:tcPr>
            <w:tcW w:w="1216" w:type="dxa"/>
            <w:tcBorders>
              <w:top w:val="nil"/>
              <w:left w:val="nil"/>
              <w:bottom w:val="single" w:sz="4" w:space="0" w:color="auto"/>
              <w:right w:val="single" w:sz="4" w:space="0" w:color="auto"/>
            </w:tcBorders>
            <w:shd w:val="clear" w:color="000000" w:fill="FFFFFF"/>
            <w:vAlign w:val="center"/>
            <w:hideMark/>
          </w:tcPr>
          <w:p w14:paraId="33E4B028"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-0.25</w:t>
            </w:r>
          </w:p>
        </w:tc>
        <w:tc>
          <w:tcPr>
            <w:tcW w:w="3330" w:type="dxa"/>
            <w:tcBorders>
              <w:top w:val="nil"/>
              <w:left w:val="nil"/>
              <w:bottom w:val="single" w:sz="4" w:space="0" w:color="auto"/>
              <w:right w:val="single" w:sz="4" w:space="0" w:color="auto"/>
            </w:tcBorders>
            <w:shd w:val="clear" w:color="auto" w:fill="auto"/>
            <w:vAlign w:val="center"/>
            <w:hideMark/>
          </w:tcPr>
          <w:p w14:paraId="6746CC6A"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Phase shifter quantization and amplitude accuracy dependent</w:t>
            </w:r>
          </w:p>
        </w:tc>
      </w:tr>
      <w:tr w:rsidR="00B75493" w:rsidRPr="00B75493" w14:paraId="4745DC4E"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4B11588F"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Finite beam table</w:t>
            </w:r>
          </w:p>
        </w:tc>
        <w:tc>
          <w:tcPr>
            <w:tcW w:w="634" w:type="dxa"/>
            <w:tcBorders>
              <w:top w:val="nil"/>
              <w:left w:val="nil"/>
              <w:bottom w:val="single" w:sz="4" w:space="0" w:color="auto"/>
              <w:right w:val="single" w:sz="4" w:space="0" w:color="auto"/>
            </w:tcBorders>
            <w:shd w:val="clear" w:color="auto" w:fill="auto"/>
            <w:vAlign w:val="center"/>
            <w:hideMark/>
          </w:tcPr>
          <w:p w14:paraId="737F4867"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auto" w:fill="auto"/>
            <w:vAlign w:val="center"/>
            <w:hideMark/>
          </w:tcPr>
          <w:p w14:paraId="75098B2E"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-0.25</w:t>
            </w:r>
          </w:p>
        </w:tc>
        <w:tc>
          <w:tcPr>
            <w:tcW w:w="1176" w:type="dxa"/>
            <w:tcBorders>
              <w:top w:val="nil"/>
              <w:left w:val="nil"/>
              <w:bottom w:val="single" w:sz="4" w:space="0" w:color="auto"/>
              <w:right w:val="single" w:sz="4" w:space="0" w:color="auto"/>
            </w:tcBorders>
            <w:shd w:val="clear" w:color="auto" w:fill="auto"/>
            <w:vAlign w:val="center"/>
            <w:hideMark/>
          </w:tcPr>
          <w:p w14:paraId="0A2D55FB"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0.00</w:t>
            </w:r>
          </w:p>
        </w:tc>
        <w:tc>
          <w:tcPr>
            <w:tcW w:w="848" w:type="dxa"/>
            <w:tcBorders>
              <w:top w:val="nil"/>
              <w:left w:val="nil"/>
              <w:bottom w:val="single" w:sz="4" w:space="0" w:color="auto"/>
              <w:right w:val="single" w:sz="4" w:space="0" w:color="auto"/>
            </w:tcBorders>
            <w:shd w:val="clear" w:color="auto" w:fill="auto"/>
            <w:vAlign w:val="center"/>
            <w:hideMark/>
          </w:tcPr>
          <w:p w14:paraId="084831D0"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-0.25</w:t>
            </w:r>
          </w:p>
        </w:tc>
        <w:tc>
          <w:tcPr>
            <w:tcW w:w="1216" w:type="dxa"/>
            <w:tcBorders>
              <w:top w:val="nil"/>
              <w:left w:val="nil"/>
              <w:bottom w:val="single" w:sz="4" w:space="0" w:color="auto"/>
              <w:right w:val="single" w:sz="4" w:space="0" w:color="auto"/>
            </w:tcBorders>
            <w:shd w:val="clear" w:color="auto" w:fill="auto"/>
            <w:vAlign w:val="center"/>
            <w:hideMark/>
          </w:tcPr>
          <w:p w14:paraId="54ABB1CF"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0.00</w:t>
            </w:r>
          </w:p>
        </w:tc>
        <w:tc>
          <w:tcPr>
            <w:tcW w:w="3330" w:type="dxa"/>
            <w:tcBorders>
              <w:top w:val="nil"/>
              <w:left w:val="nil"/>
              <w:bottom w:val="single" w:sz="4" w:space="0" w:color="auto"/>
              <w:right w:val="single" w:sz="4" w:space="0" w:color="auto"/>
            </w:tcBorders>
            <w:shd w:val="clear" w:color="auto" w:fill="auto"/>
            <w:vAlign w:val="center"/>
            <w:hideMark/>
          </w:tcPr>
          <w:p w14:paraId="59D12358"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Nominal value</w:t>
            </w:r>
          </w:p>
        </w:tc>
      </w:tr>
      <w:tr w:rsidR="00B75493" w:rsidRPr="00B75493" w14:paraId="21BC1E6A" w14:textId="77777777" w:rsidTr="00F90EDB">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5E218768"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Beam forming loss (one beam table fits all)</w:t>
            </w:r>
          </w:p>
        </w:tc>
        <w:tc>
          <w:tcPr>
            <w:tcW w:w="634" w:type="dxa"/>
            <w:tcBorders>
              <w:top w:val="nil"/>
              <w:left w:val="nil"/>
              <w:bottom w:val="single" w:sz="4" w:space="0" w:color="auto"/>
              <w:right w:val="single" w:sz="4" w:space="0" w:color="auto"/>
            </w:tcBorders>
            <w:shd w:val="clear" w:color="auto" w:fill="auto"/>
            <w:vAlign w:val="center"/>
            <w:hideMark/>
          </w:tcPr>
          <w:p w14:paraId="47549046"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auto" w:fill="auto"/>
            <w:vAlign w:val="center"/>
            <w:hideMark/>
          </w:tcPr>
          <w:p w14:paraId="122FB210"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-0.25</w:t>
            </w:r>
          </w:p>
        </w:tc>
        <w:tc>
          <w:tcPr>
            <w:tcW w:w="1176" w:type="dxa"/>
            <w:tcBorders>
              <w:top w:val="nil"/>
              <w:left w:val="nil"/>
              <w:bottom w:val="single" w:sz="4" w:space="0" w:color="auto"/>
              <w:right w:val="single" w:sz="4" w:space="0" w:color="auto"/>
            </w:tcBorders>
            <w:shd w:val="clear" w:color="auto" w:fill="auto"/>
            <w:vAlign w:val="center"/>
            <w:hideMark/>
          </w:tcPr>
          <w:p w14:paraId="4ACEC11D"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0.00</w:t>
            </w:r>
          </w:p>
        </w:tc>
        <w:tc>
          <w:tcPr>
            <w:tcW w:w="848" w:type="dxa"/>
            <w:tcBorders>
              <w:top w:val="nil"/>
              <w:left w:val="nil"/>
              <w:bottom w:val="single" w:sz="4" w:space="0" w:color="auto"/>
              <w:right w:val="single" w:sz="4" w:space="0" w:color="auto"/>
            </w:tcBorders>
            <w:shd w:val="clear" w:color="auto" w:fill="auto"/>
            <w:vAlign w:val="center"/>
            <w:hideMark/>
          </w:tcPr>
          <w:p w14:paraId="78D3634D"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-0.25</w:t>
            </w:r>
          </w:p>
        </w:tc>
        <w:tc>
          <w:tcPr>
            <w:tcW w:w="1216" w:type="dxa"/>
            <w:tcBorders>
              <w:top w:val="nil"/>
              <w:left w:val="nil"/>
              <w:bottom w:val="single" w:sz="4" w:space="0" w:color="auto"/>
              <w:right w:val="single" w:sz="4" w:space="0" w:color="auto"/>
            </w:tcBorders>
            <w:shd w:val="clear" w:color="auto" w:fill="auto"/>
            <w:vAlign w:val="center"/>
            <w:hideMark/>
          </w:tcPr>
          <w:p w14:paraId="60958525"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0.00</w:t>
            </w:r>
          </w:p>
        </w:tc>
        <w:tc>
          <w:tcPr>
            <w:tcW w:w="3330" w:type="dxa"/>
            <w:tcBorders>
              <w:top w:val="nil"/>
              <w:left w:val="nil"/>
              <w:bottom w:val="single" w:sz="4" w:space="0" w:color="auto"/>
              <w:right w:val="single" w:sz="4" w:space="0" w:color="auto"/>
            </w:tcBorders>
            <w:shd w:val="clear" w:color="auto" w:fill="auto"/>
            <w:vAlign w:val="center"/>
            <w:hideMark/>
          </w:tcPr>
          <w:p w14:paraId="6321C62A"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The time required to optimize the beam table for every unit will amount to many hours for each unit</w:t>
            </w:r>
          </w:p>
        </w:tc>
      </w:tr>
      <w:tr w:rsidR="00B75493" w:rsidRPr="00B75493" w14:paraId="658D41FC" w14:textId="77777777" w:rsidTr="00F90EDB">
        <w:trPr>
          <w:trHeight w:val="99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48E7843A"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Form factor integration losses</w:t>
            </w:r>
          </w:p>
        </w:tc>
        <w:tc>
          <w:tcPr>
            <w:tcW w:w="634" w:type="dxa"/>
            <w:tcBorders>
              <w:top w:val="nil"/>
              <w:left w:val="nil"/>
              <w:bottom w:val="single" w:sz="4" w:space="0" w:color="auto"/>
              <w:right w:val="single" w:sz="4" w:space="0" w:color="auto"/>
            </w:tcBorders>
            <w:shd w:val="clear" w:color="auto" w:fill="auto"/>
            <w:vAlign w:val="center"/>
            <w:hideMark/>
          </w:tcPr>
          <w:p w14:paraId="74C875FD"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auto" w:fill="auto"/>
            <w:vAlign w:val="center"/>
            <w:hideMark/>
          </w:tcPr>
          <w:p w14:paraId="496371B5" w14:textId="3C86C884"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4</w:t>
            </w:r>
            <w:r w:rsidRPr="00B75493">
              <w:rPr>
                <w:rFonts w:ascii="Arial" w:hAnsi="Arial" w:cs="Arial"/>
                <w:color w:val="000000"/>
                <w:sz w:val="16"/>
                <w:szCs w:val="16"/>
                <w:lang w:val="en-US" w:eastAsia="en-US"/>
              </w:rPr>
              <w:t>.00</w:t>
            </w:r>
          </w:p>
        </w:tc>
        <w:tc>
          <w:tcPr>
            <w:tcW w:w="1176" w:type="dxa"/>
            <w:tcBorders>
              <w:top w:val="nil"/>
              <w:left w:val="nil"/>
              <w:bottom w:val="single" w:sz="4" w:space="0" w:color="auto"/>
              <w:right w:val="single" w:sz="4" w:space="0" w:color="auto"/>
            </w:tcBorders>
            <w:shd w:val="clear" w:color="auto" w:fill="auto"/>
            <w:vAlign w:val="center"/>
            <w:hideMark/>
          </w:tcPr>
          <w:p w14:paraId="070DFDE8"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-2.00</w:t>
            </w:r>
          </w:p>
        </w:tc>
        <w:tc>
          <w:tcPr>
            <w:tcW w:w="848" w:type="dxa"/>
            <w:tcBorders>
              <w:top w:val="nil"/>
              <w:left w:val="nil"/>
              <w:bottom w:val="single" w:sz="4" w:space="0" w:color="auto"/>
              <w:right w:val="single" w:sz="4" w:space="0" w:color="auto"/>
            </w:tcBorders>
            <w:shd w:val="clear" w:color="auto" w:fill="auto"/>
            <w:vAlign w:val="center"/>
            <w:hideMark/>
          </w:tcPr>
          <w:p w14:paraId="3ED255E5" w14:textId="0CC5C9AA"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5</w:t>
            </w:r>
            <w:r w:rsidRPr="00B75493">
              <w:rPr>
                <w:rFonts w:ascii="Arial" w:hAnsi="Arial" w:cs="Arial"/>
                <w:color w:val="000000"/>
                <w:sz w:val="16"/>
                <w:szCs w:val="16"/>
                <w:lang w:val="en-US" w:eastAsia="en-US"/>
              </w:rPr>
              <w:t>.00</w:t>
            </w:r>
          </w:p>
        </w:tc>
        <w:tc>
          <w:tcPr>
            <w:tcW w:w="1216" w:type="dxa"/>
            <w:tcBorders>
              <w:top w:val="nil"/>
              <w:left w:val="nil"/>
              <w:bottom w:val="single" w:sz="4" w:space="0" w:color="auto"/>
              <w:right w:val="single" w:sz="4" w:space="0" w:color="auto"/>
            </w:tcBorders>
            <w:shd w:val="clear" w:color="auto" w:fill="auto"/>
            <w:vAlign w:val="center"/>
            <w:hideMark/>
          </w:tcPr>
          <w:p w14:paraId="2635F6E7"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-2.00</w:t>
            </w:r>
          </w:p>
        </w:tc>
        <w:tc>
          <w:tcPr>
            <w:tcW w:w="3330" w:type="dxa"/>
            <w:tcBorders>
              <w:top w:val="nil"/>
              <w:left w:val="nil"/>
              <w:bottom w:val="single" w:sz="4" w:space="0" w:color="auto"/>
              <w:right w:val="single" w:sz="4" w:space="0" w:color="auto"/>
            </w:tcBorders>
            <w:shd w:val="clear" w:color="auto" w:fill="auto"/>
            <w:vAlign w:val="center"/>
            <w:hideMark/>
          </w:tcPr>
          <w:p w14:paraId="7F4DC50B"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Losses due to integrating the antenna array within a form factor spanning a variety of potential placements and materials. Nominal and tolerance to be updated based on latest simulations and measurements</w:t>
            </w:r>
          </w:p>
        </w:tc>
      </w:tr>
      <w:tr w:rsidR="00B75493" w:rsidRPr="00B75493" w14:paraId="6045F91F"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77295EA6"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Total implementation loss (nominal)</w:t>
            </w:r>
          </w:p>
        </w:tc>
        <w:tc>
          <w:tcPr>
            <w:tcW w:w="634" w:type="dxa"/>
            <w:tcBorders>
              <w:top w:val="nil"/>
              <w:left w:val="nil"/>
              <w:bottom w:val="single" w:sz="4" w:space="0" w:color="auto"/>
              <w:right w:val="single" w:sz="4" w:space="0" w:color="auto"/>
            </w:tcBorders>
            <w:shd w:val="clear" w:color="auto" w:fill="auto"/>
            <w:vAlign w:val="center"/>
            <w:hideMark/>
          </w:tcPr>
          <w:p w14:paraId="0920FB0C"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auto" w:fill="auto"/>
            <w:vAlign w:val="center"/>
            <w:hideMark/>
          </w:tcPr>
          <w:p w14:paraId="514BAED6" w14:textId="63FE9A3B"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6</w:t>
            </w: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7</w:t>
            </w:r>
            <w:r w:rsidRPr="00B75493">
              <w:rPr>
                <w:rFonts w:ascii="Arial" w:hAnsi="Arial" w:cs="Arial"/>
                <w:color w:val="000000"/>
                <w:sz w:val="16"/>
                <w:szCs w:val="16"/>
                <w:lang w:val="en-US" w:eastAsia="en-US"/>
              </w:rPr>
              <w:t>5</w:t>
            </w:r>
          </w:p>
        </w:tc>
        <w:tc>
          <w:tcPr>
            <w:tcW w:w="1176" w:type="dxa"/>
            <w:tcBorders>
              <w:top w:val="nil"/>
              <w:left w:val="nil"/>
              <w:bottom w:val="single" w:sz="4" w:space="0" w:color="auto"/>
              <w:right w:val="single" w:sz="4" w:space="0" w:color="auto"/>
            </w:tcBorders>
            <w:shd w:val="clear" w:color="000000" w:fill="D9D9D9"/>
            <w:vAlign w:val="center"/>
            <w:hideMark/>
          </w:tcPr>
          <w:p w14:paraId="5F7F196A"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29FED0E6" w14:textId="76531A61"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7</w:t>
            </w: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9</w:t>
            </w:r>
            <w:r w:rsidRPr="00B75493">
              <w:rPr>
                <w:rFonts w:ascii="Arial" w:hAnsi="Arial" w:cs="Arial"/>
                <w:color w:val="000000"/>
                <w:sz w:val="16"/>
                <w:szCs w:val="16"/>
                <w:lang w:val="en-US" w:eastAsia="en-US"/>
              </w:rPr>
              <w:t>5</w:t>
            </w:r>
          </w:p>
        </w:tc>
        <w:tc>
          <w:tcPr>
            <w:tcW w:w="1216" w:type="dxa"/>
            <w:tcBorders>
              <w:top w:val="nil"/>
              <w:left w:val="nil"/>
              <w:bottom w:val="single" w:sz="4" w:space="0" w:color="auto"/>
              <w:right w:val="single" w:sz="4" w:space="0" w:color="auto"/>
            </w:tcBorders>
            <w:shd w:val="clear" w:color="000000" w:fill="D9D9D9"/>
            <w:vAlign w:val="center"/>
            <w:hideMark/>
          </w:tcPr>
          <w:p w14:paraId="2FA0D5C8"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48362569"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Nominal value</w:t>
            </w:r>
          </w:p>
        </w:tc>
      </w:tr>
      <w:tr w:rsidR="00B75493" w:rsidRPr="00B75493" w14:paraId="6673B862"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7772FB24"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Total implementation loss (worst case)</w:t>
            </w:r>
          </w:p>
        </w:tc>
        <w:tc>
          <w:tcPr>
            <w:tcW w:w="634" w:type="dxa"/>
            <w:tcBorders>
              <w:top w:val="nil"/>
              <w:left w:val="nil"/>
              <w:bottom w:val="single" w:sz="4" w:space="0" w:color="auto"/>
              <w:right w:val="single" w:sz="4" w:space="0" w:color="auto"/>
            </w:tcBorders>
            <w:shd w:val="clear" w:color="auto" w:fill="auto"/>
            <w:vAlign w:val="center"/>
            <w:hideMark/>
          </w:tcPr>
          <w:p w14:paraId="11198EF7"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000000" w:fill="D9D9D9"/>
            <w:vAlign w:val="center"/>
            <w:hideMark/>
          </w:tcPr>
          <w:p w14:paraId="1C8E4903"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1176" w:type="dxa"/>
            <w:tcBorders>
              <w:top w:val="nil"/>
              <w:left w:val="nil"/>
              <w:bottom w:val="single" w:sz="4" w:space="0" w:color="auto"/>
              <w:right w:val="single" w:sz="4" w:space="0" w:color="auto"/>
            </w:tcBorders>
            <w:shd w:val="clear" w:color="auto" w:fill="auto"/>
            <w:vAlign w:val="center"/>
            <w:hideMark/>
          </w:tcPr>
          <w:p w14:paraId="1993C32C" w14:textId="45F3C860"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9</w:t>
            </w: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6</w:t>
            </w:r>
            <w:r w:rsidRPr="00B75493">
              <w:rPr>
                <w:rFonts w:ascii="Arial" w:hAnsi="Arial" w:cs="Arial"/>
                <w:color w:val="000000"/>
                <w:sz w:val="16"/>
                <w:szCs w:val="16"/>
                <w:lang w:val="en-US" w:eastAsia="en-US"/>
              </w:rPr>
              <w:t>0</w:t>
            </w:r>
          </w:p>
        </w:tc>
        <w:tc>
          <w:tcPr>
            <w:tcW w:w="848" w:type="dxa"/>
            <w:tcBorders>
              <w:top w:val="nil"/>
              <w:left w:val="nil"/>
              <w:bottom w:val="single" w:sz="4" w:space="0" w:color="auto"/>
              <w:right w:val="single" w:sz="4" w:space="0" w:color="auto"/>
            </w:tcBorders>
            <w:shd w:val="clear" w:color="000000" w:fill="D9D9D9"/>
            <w:vAlign w:val="center"/>
            <w:hideMark/>
          </w:tcPr>
          <w:p w14:paraId="54B3229C"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1216" w:type="dxa"/>
            <w:tcBorders>
              <w:top w:val="nil"/>
              <w:left w:val="nil"/>
              <w:bottom w:val="single" w:sz="4" w:space="0" w:color="auto"/>
              <w:right w:val="single" w:sz="4" w:space="0" w:color="auto"/>
            </w:tcBorders>
            <w:shd w:val="clear" w:color="auto" w:fill="auto"/>
            <w:vAlign w:val="center"/>
            <w:hideMark/>
          </w:tcPr>
          <w:p w14:paraId="77439A47" w14:textId="3381671F"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-1</w:t>
            </w:r>
            <w:r w:rsidR="00F83C3F">
              <w:rPr>
                <w:rFonts w:ascii="Arial" w:hAnsi="Arial" w:cs="Arial"/>
                <w:color w:val="000000"/>
                <w:sz w:val="16"/>
                <w:szCs w:val="16"/>
                <w:lang w:val="en-US" w:eastAsia="en-US"/>
              </w:rPr>
              <w:t>0</w:t>
            </w: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9</w:t>
            </w:r>
            <w:r w:rsidRPr="00B75493">
              <w:rPr>
                <w:rFonts w:ascii="Arial" w:hAnsi="Arial" w:cs="Arial"/>
                <w:color w:val="000000"/>
                <w:sz w:val="16"/>
                <w:szCs w:val="16"/>
                <w:lang w:val="en-US" w:eastAsia="en-US"/>
              </w:rPr>
              <w:t>0</w:t>
            </w:r>
          </w:p>
        </w:tc>
        <w:tc>
          <w:tcPr>
            <w:tcW w:w="3330" w:type="dxa"/>
            <w:tcBorders>
              <w:top w:val="nil"/>
              <w:left w:val="nil"/>
              <w:bottom w:val="single" w:sz="4" w:space="0" w:color="auto"/>
              <w:right w:val="single" w:sz="4" w:space="0" w:color="auto"/>
            </w:tcBorders>
            <w:shd w:val="clear" w:color="auto" w:fill="auto"/>
            <w:vAlign w:val="center"/>
            <w:hideMark/>
          </w:tcPr>
          <w:p w14:paraId="77828D4D"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Worst case value</w:t>
            </w:r>
          </w:p>
        </w:tc>
      </w:tr>
      <w:tr w:rsidR="00B75493" w:rsidRPr="00B75493" w14:paraId="641A9D5D"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007579B9" w14:textId="4E1B2B1D" w:rsidR="00B75493" w:rsidRPr="00B75493" w:rsidRDefault="00C34AD4" w:rsidP="00B75493">
            <w:pPr>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Peak</w:t>
            </w:r>
            <w:r w:rsidRPr="00B75493">
              <w:rPr>
                <w:rFonts w:ascii="Arial" w:hAnsi="Arial" w:cs="Arial"/>
                <w:color w:val="000000"/>
                <w:sz w:val="16"/>
                <w:szCs w:val="16"/>
                <w:lang w:val="en-US" w:eastAsia="en-US"/>
              </w:rPr>
              <w:t xml:space="preserve"> </w:t>
            </w:r>
            <w:r w:rsidR="00B75493" w:rsidRPr="00B75493">
              <w:rPr>
                <w:rFonts w:ascii="Arial" w:hAnsi="Arial" w:cs="Arial"/>
                <w:color w:val="000000"/>
                <w:sz w:val="16"/>
                <w:szCs w:val="16"/>
                <w:lang w:val="en-US" w:eastAsia="en-US"/>
              </w:rPr>
              <w:t>EIRP (Nominal)</w:t>
            </w:r>
          </w:p>
        </w:tc>
        <w:tc>
          <w:tcPr>
            <w:tcW w:w="634" w:type="dxa"/>
            <w:tcBorders>
              <w:top w:val="nil"/>
              <w:left w:val="nil"/>
              <w:bottom w:val="single" w:sz="4" w:space="0" w:color="auto"/>
              <w:right w:val="single" w:sz="4" w:space="0" w:color="auto"/>
            </w:tcBorders>
            <w:shd w:val="clear" w:color="auto" w:fill="auto"/>
            <w:vAlign w:val="center"/>
            <w:hideMark/>
          </w:tcPr>
          <w:p w14:paraId="35CB53D2"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dBm</w:t>
            </w:r>
          </w:p>
        </w:tc>
        <w:tc>
          <w:tcPr>
            <w:tcW w:w="896" w:type="dxa"/>
            <w:tcBorders>
              <w:top w:val="nil"/>
              <w:left w:val="nil"/>
              <w:bottom w:val="single" w:sz="4" w:space="0" w:color="auto"/>
              <w:right w:val="single" w:sz="4" w:space="0" w:color="auto"/>
            </w:tcBorders>
            <w:shd w:val="clear" w:color="auto" w:fill="auto"/>
            <w:vAlign w:val="center"/>
            <w:hideMark/>
          </w:tcPr>
          <w:p w14:paraId="545B802C" w14:textId="7F3FE6F4"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w:t>
            </w:r>
            <w:r w:rsidR="00F83C3F">
              <w:rPr>
                <w:rFonts w:ascii="Arial" w:hAnsi="Arial" w:cs="Arial"/>
                <w:color w:val="000000"/>
                <w:sz w:val="16"/>
                <w:szCs w:val="16"/>
                <w:lang w:val="en-US" w:eastAsia="en-US"/>
              </w:rPr>
              <w:t>4</w:t>
            </w: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0</w:t>
            </w:r>
            <w:r w:rsidRPr="00B75493">
              <w:rPr>
                <w:rFonts w:ascii="Arial" w:hAnsi="Arial" w:cs="Arial"/>
                <w:color w:val="000000"/>
                <w:sz w:val="16"/>
                <w:szCs w:val="16"/>
                <w:lang w:val="en-US" w:eastAsia="en-US"/>
              </w:rPr>
              <w:t>5</w:t>
            </w:r>
          </w:p>
        </w:tc>
        <w:tc>
          <w:tcPr>
            <w:tcW w:w="1176" w:type="dxa"/>
            <w:tcBorders>
              <w:top w:val="nil"/>
              <w:left w:val="nil"/>
              <w:bottom w:val="single" w:sz="4" w:space="0" w:color="auto"/>
              <w:right w:val="single" w:sz="4" w:space="0" w:color="auto"/>
            </w:tcBorders>
            <w:shd w:val="clear" w:color="000000" w:fill="D9D9D9"/>
            <w:vAlign w:val="center"/>
            <w:hideMark/>
          </w:tcPr>
          <w:p w14:paraId="5550F7F7"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1E45B2B9" w14:textId="55A6AEBC"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w:t>
            </w:r>
            <w:r w:rsidR="00F83C3F">
              <w:rPr>
                <w:rFonts w:ascii="Arial" w:hAnsi="Arial" w:cs="Arial"/>
                <w:color w:val="000000"/>
                <w:sz w:val="16"/>
                <w:szCs w:val="16"/>
                <w:lang w:val="en-US" w:eastAsia="en-US"/>
              </w:rPr>
              <w:t>2</w:t>
            </w: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3</w:t>
            </w:r>
            <w:r w:rsidRPr="00B75493">
              <w:rPr>
                <w:rFonts w:ascii="Arial" w:hAnsi="Arial" w:cs="Arial"/>
                <w:color w:val="000000"/>
                <w:sz w:val="16"/>
                <w:szCs w:val="16"/>
                <w:lang w:val="en-US" w:eastAsia="en-US"/>
              </w:rPr>
              <w:t>5</w:t>
            </w:r>
          </w:p>
        </w:tc>
        <w:tc>
          <w:tcPr>
            <w:tcW w:w="1216" w:type="dxa"/>
            <w:tcBorders>
              <w:top w:val="nil"/>
              <w:left w:val="nil"/>
              <w:bottom w:val="single" w:sz="4" w:space="0" w:color="auto"/>
              <w:right w:val="single" w:sz="4" w:space="0" w:color="auto"/>
            </w:tcBorders>
            <w:shd w:val="clear" w:color="000000" w:fill="D9D9D9"/>
            <w:vAlign w:val="center"/>
            <w:hideMark/>
          </w:tcPr>
          <w:p w14:paraId="72E61D93"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01097D5A"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Including Polarization Gain</w:t>
            </w:r>
          </w:p>
        </w:tc>
      </w:tr>
      <w:tr w:rsidR="00B75493" w:rsidRPr="00B75493" w14:paraId="5CD3DB38"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C13F76A"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Tolerance (+/-)</w:t>
            </w:r>
          </w:p>
        </w:tc>
        <w:tc>
          <w:tcPr>
            <w:tcW w:w="634" w:type="dxa"/>
            <w:tcBorders>
              <w:top w:val="nil"/>
              <w:left w:val="nil"/>
              <w:bottom w:val="single" w:sz="4" w:space="0" w:color="auto"/>
              <w:right w:val="single" w:sz="4" w:space="0" w:color="auto"/>
            </w:tcBorders>
            <w:shd w:val="clear" w:color="auto" w:fill="auto"/>
            <w:vAlign w:val="center"/>
            <w:hideMark/>
          </w:tcPr>
          <w:p w14:paraId="550781C3"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w:t>
            </w:r>
          </w:p>
        </w:tc>
        <w:tc>
          <w:tcPr>
            <w:tcW w:w="896" w:type="dxa"/>
            <w:tcBorders>
              <w:top w:val="nil"/>
              <w:left w:val="nil"/>
              <w:bottom w:val="single" w:sz="4" w:space="0" w:color="auto"/>
              <w:right w:val="single" w:sz="4" w:space="0" w:color="auto"/>
            </w:tcBorders>
            <w:shd w:val="clear" w:color="000000" w:fill="D9D9D9"/>
            <w:vAlign w:val="center"/>
            <w:hideMark/>
          </w:tcPr>
          <w:p w14:paraId="1C09F12E"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1176" w:type="dxa"/>
            <w:tcBorders>
              <w:top w:val="nil"/>
              <w:left w:val="nil"/>
              <w:bottom w:val="single" w:sz="4" w:space="0" w:color="auto"/>
              <w:right w:val="single" w:sz="4" w:space="0" w:color="auto"/>
            </w:tcBorders>
            <w:shd w:val="clear" w:color="auto" w:fill="auto"/>
            <w:vAlign w:val="center"/>
            <w:hideMark/>
          </w:tcPr>
          <w:p w14:paraId="4476354C"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3.85</w:t>
            </w:r>
          </w:p>
        </w:tc>
        <w:tc>
          <w:tcPr>
            <w:tcW w:w="848" w:type="dxa"/>
            <w:tcBorders>
              <w:top w:val="nil"/>
              <w:left w:val="nil"/>
              <w:bottom w:val="single" w:sz="4" w:space="0" w:color="auto"/>
              <w:right w:val="single" w:sz="4" w:space="0" w:color="auto"/>
            </w:tcBorders>
            <w:shd w:val="clear" w:color="000000" w:fill="D9D9D9"/>
            <w:vAlign w:val="center"/>
            <w:hideMark/>
          </w:tcPr>
          <w:p w14:paraId="05E7784F"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1216" w:type="dxa"/>
            <w:tcBorders>
              <w:top w:val="nil"/>
              <w:left w:val="nil"/>
              <w:bottom w:val="single" w:sz="4" w:space="0" w:color="auto"/>
              <w:right w:val="single" w:sz="4" w:space="0" w:color="auto"/>
            </w:tcBorders>
            <w:shd w:val="clear" w:color="auto" w:fill="auto"/>
            <w:vAlign w:val="center"/>
            <w:hideMark/>
          </w:tcPr>
          <w:p w14:paraId="1BFF1E0E" w14:textId="77777777" w:rsidR="00B75493" w:rsidRPr="00B75493" w:rsidRDefault="00B75493" w:rsidP="00B75493">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3.95</w:t>
            </w:r>
          </w:p>
        </w:tc>
        <w:tc>
          <w:tcPr>
            <w:tcW w:w="3330" w:type="dxa"/>
            <w:tcBorders>
              <w:top w:val="nil"/>
              <w:left w:val="nil"/>
              <w:bottom w:val="single" w:sz="4" w:space="0" w:color="auto"/>
              <w:right w:val="single" w:sz="4" w:space="0" w:color="auto"/>
            </w:tcBorders>
            <w:shd w:val="clear" w:color="auto" w:fill="auto"/>
            <w:vAlign w:val="center"/>
            <w:hideMark/>
          </w:tcPr>
          <w:p w14:paraId="2530D122"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Difference between nominal and worst case</w:t>
            </w:r>
          </w:p>
        </w:tc>
      </w:tr>
      <w:tr w:rsidR="00B75493" w:rsidRPr="00B75493" w14:paraId="0F68E6F6"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468DD354" w14:textId="0351DAF8" w:rsidR="00B75493" w:rsidRPr="00B75493" w:rsidRDefault="006B7454" w:rsidP="00B75493">
            <w:pPr>
              <w:overflowPunct/>
              <w:autoSpaceDE/>
              <w:autoSpaceDN/>
              <w:adjustRightInd/>
              <w:spacing w:after="0"/>
              <w:textAlignment w:val="auto"/>
              <w:rPr>
                <w:rFonts w:ascii="Arial" w:hAnsi="Arial" w:cs="Arial"/>
                <w:b/>
                <w:bCs/>
                <w:color w:val="000000"/>
                <w:sz w:val="16"/>
                <w:szCs w:val="16"/>
                <w:lang w:val="en-US" w:eastAsia="en-US"/>
              </w:rPr>
            </w:pPr>
            <w:r>
              <w:rPr>
                <w:rFonts w:ascii="Arial" w:hAnsi="Arial" w:cs="Arial"/>
                <w:b/>
                <w:bCs/>
                <w:color w:val="000000"/>
                <w:sz w:val="16"/>
                <w:szCs w:val="16"/>
                <w:lang w:val="en-US" w:eastAsia="en-US"/>
              </w:rPr>
              <w:t>Peak</w:t>
            </w:r>
            <w:r w:rsidRPr="00B75493">
              <w:rPr>
                <w:rFonts w:ascii="Arial" w:hAnsi="Arial" w:cs="Arial"/>
                <w:b/>
                <w:bCs/>
                <w:color w:val="000000"/>
                <w:sz w:val="16"/>
                <w:szCs w:val="16"/>
                <w:lang w:val="en-US" w:eastAsia="en-US"/>
              </w:rPr>
              <w:t xml:space="preserve"> </w:t>
            </w:r>
            <w:r w:rsidR="00B75493" w:rsidRPr="00B75493">
              <w:rPr>
                <w:rFonts w:ascii="Arial" w:hAnsi="Arial" w:cs="Arial"/>
                <w:b/>
                <w:bCs/>
                <w:color w:val="000000"/>
                <w:sz w:val="16"/>
                <w:szCs w:val="16"/>
                <w:lang w:val="en-US" w:eastAsia="en-US"/>
              </w:rPr>
              <w:t>EIRP (Minimum)</w:t>
            </w:r>
          </w:p>
        </w:tc>
        <w:tc>
          <w:tcPr>
            <w:tcW w:w="634" w:type="dxa"/>
            <w:tcBorders>
              <w:top w:val="nil"/>
              <w:left w:val="nil"/>
              <w:bottom w:val="single" w:sz="4" w:space="0" w:color="auto"/>
              <w:right w:val="single" w:sz="4" w:space="0" w:color="auto"/>
            </w:tcBorders>
            <w:shd w:val="clear" w:color="auto" w:fill="auto"/>
            <w:vAlign w:val="center"/>
            <w:hideMark/>
          </w:tcPr>
          <w:p w14:paraId="49F10B24"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dBm</w:t>
            </w:r>
          </w:p>
        </w:tc>
        <w:tc>
          <w:tcPr>
            <w:tcW w:w="896" w:type="dxa"/>
            <w:tcBorders>
              <w:top w:val="nil"/>
              <w:left w:val="nil"/>
              <w:bottom w:val="single" w:sz="4" w:space="0" w:color="auto"/>
              <w:right w:val="single" w:sz="4" w:space="0" w:color="auto"/>
            </w:tcBorders>
            <w:shd w:val="clear" w:color="auto" w:fill="auto"/>
            <w:vAlign w:val="center"/>
            <w:hideMark/>
          </w:tcPr>
          <w:p w14:paraId="3F4544D0" w14:textId="2AACBAA5" w:rsidR="00B75493" w:rsidRPr="00B75493" w:rsidRDefault="00F83C3F" w:rsidP="00B75493">
            <w:pPr>
              <w:overflowPunct/>
              <w:autoSpaceDE/>
              <w:autoSpaceDN/>
              <w:adjustRightInd/>
              <w:spacing w:after="0"/>
              <w:jc w:val="right"/>
              <w:textAlignment w:val="auto"/>
              <w:rPr>
                <w:rFonts w:ascii="Arial" w:hAnsi="Arial" w:cs="Arial"/>
                <w:b/>
                <w:bCs/>
                <w:color w:val="000000"/>
                <w:sz w:val="16"/>
                <w:szCs w:val="16"/>
                <w:lang w:val="en-US" w:eastAsia="en-US"/>
              </w:rPr>
            </w:pPr>
            <w:r>
              <w:rPr>
                <w:rFonts w:ascii="Arial" w:hAnsi="Arial" w:cs="Arial"/>
                <w:b/>
                <w:bCs/>
                <w:color w:val="000000"/>
                <w:sz w:val="16"/>
                <w:szCs w:val="16"/>
                <w:lang w:val="en-US" w:eastAsia="en-US"/>
              </w:rPr>
              <w:t>20.20</w:t>
            </w:r>
          </w:p>
        </w:tc>
        <w:tc>
          <w:tcPr>
            <w:tcW w:w="1176" w:type="dxa"/>
            <w:tcBorders>
              <w:top w:val="nil"/>
              <w:left w:val="nil"/>
              <w:bottom w:val="single" w:sz="4" w:space="0" w:color="auto"/>
              <w:right w:val="single" w:sz="4" w:space="0" w:color="auto"/>
            </w:tcBorders>
            <w:shd w:val="clear" w:color="000000" w:fill="D9D9D9"/>
            <w:vAlign w:val="center"/>
            <w:hideMark/>
          </w:tcPr>
          <w:p w14:paraId="5F6DA625"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0C8BB754" w14:textId="6F93D8A6" w:rsidR="00B75493" w:rsidRPr="00B75493" w:rsidRDefault="00B75493" w:rsidP="00F83C3F">
            <w:pPr>
              <w:overflowPunct/>
              <w:autoSpaceDE/>
              <w:autoSpaceDN/>
              <w:adjustRightInd/>
              <w:spacing w:after="0"/>
              <w:jc w:val="right"/>
              <w:textAlignment w:val="auto"/>
              <w:rPr>
                <w:rFonts w:ascii="Arial" w:hAnsi="Arial" w:cs="Arial"/>
                <w:b/>
                <w:bCs/>
                <w:color w:val="000000"/>
                <w:sz w:val="16"/>
                <w:szCs w:val="16"/>
                <w:lang w:val="en-US" w:eastAsia="en-US"/>
              </w:rPr>
            </w:pPr>
            <w:r w:rsidRPr="00B75493">
              <w:rPr>
                <w:rFonts w:ascii="Arial" w:hAnsi="Arial" w:cs="Arial"/>
                <w:b/>
                <w:bCs/>
                <w:color w:val="000000"/>
                <w:sz w:val="16"/>
                <w:szCs w:val="16"/>
                <w:lang w:val="en-US" w:eastAsia="en-US"/>
              </w:rPr>
              <w:t>1</w:t>
            </w:r>
            <w:r w:rsidR="00F83C3F">
              <w:rPr>
                <w:rFonts w:ascii="Arial" w:hAnsi="Arial" w:cs="Arial"/>
                <w:b/>
                <w:bCs/>
                <w:color w:val="000000"/>
                <w:sz w:val="16"/>
                <w:szCs w:val="16"/>
                <w:lang w:val="en-US" w:eastAsia="en-US"/>
              </w:rPr>
              <w:t>8</w:t>
            </w:r>
            <w:r w:rsidRPr="00B75493">
              <w:rPr>
                <w:rFonts w:ascii="Arial" w:hAnsi="Arial" w:cs="Arial"/>
                <w:b/>
                <w:bCs/>
                <w:color w:val="000000"/>
                <w:sz w:val="16"/>
                <w:szCs w:val="16"/>
                <w:lang w:val="en-US" w:eastAsia="en-US"/>
              </w:rPr>
              <w:t>.</w:t>
            </w:r>
            <w:r w:rsidR="00F83C3F">
              <w:rPr>
                <w:rFonts w:ascii="Arial" w:hAnsi="Arial" w:cs="Arial"/>
                <w:b/>
                <w:bCs/>
                <w:color w:val="000000"/>
                <w:sz w:val="16"/>
                <w:szCs w:val="16"/>
                <w:lang w:val="en-US" w:eastAsia="en-US"/>
              </w:rPr>
              <w:t>4</w:t>
            </w:r>
            <w:r w:rsidRPr="00B75493">
              <w:rPr>
                <w:rFonts w:ascii="Arial" w:hAnsi="Arial" w:cs="Arial"/>
                <w:b/>
                <w:bCs/>
                <w:color w:val="000000"/>
                <w:sz w:val="16"/>
                <w:szCs w:val="16"/>
                <w:lang w:val="en-US" w:eastAsia="en-US"/>
              </w:rPr>
              <w:t>0</w:t>
            </w:r>
          </w:p>
        </w:tc>
        <w:tc>
          <w:tcPr>
            <w:tcW w:w="1216" w:type="dxa"/>
            <w:tcBorders>
              <w:top w:val="nil"/>
              <w:left w:val="nil"/>
              <w:bottom w:val="single" w:sz="4" w:space="0" w:color="auto"/>
              <w:right w:val="single" w:sz="4" w:space="0" w:color="auto"/>
            </w:tcBorders>
            <w:shd w:val="clear" w:color="000000" w:fill="D9D9D9"/>
            <w:vAlign w:val="center"/>
            <w:hideMark/>
          </w:tcPr>
          <w:p w14:paraId="6704DBD8"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4072CE80"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Including Polarization Gain</w:t>
            </w:r>
          </w:p>
        </w:tc>
      </w:tr>
      <w:tr w:rsidR="00B75493" w:rsidRPr="00B75493" w14:paraId="44BFE731" w14:textId="77777777" w:rsidTr="00F90EDB">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46711268" w14:textId="764A10FD" w:rsidR="00B75493" w:rsidRPr="00B75493" w:rsidRDefault="006B7454" w:rsidP="00B75493">
            <w:pPr>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Peak</w:t>
            </w:r>
            <w:r w:rsidRPr="00B75493">
              <w:rPr>
                <w:rFonts w:ascii="Arial" w:hAnsi="Arial" w:cs="Arial"/>
                <w:color w:val="000000"/>
                <w:sz w:val="16"/>
                <w:szCs w:val="16"/>
                <w:lang w:val="en-US" w:eastAsia="en-US"/>
              </w:rPr>
              <w:t xml:space="preserve"> </w:t>
            </w:r>
            <w:r w:rsidR="00B75493" w:rsidRPr="00B75493">
              <w:rPr>
                <w:rFonts w:ascii="Arial" w:hAnsi="Arial" w:cs="Arial"/>
                <w:color w:val="000000"/>
                <w:sz w:val="16"/>
                <w:szCs w:val="16"/>
                <w:lang w:val="en-US" w:eastAsia="en-US"/>
              </w:rPr>
              <w:t>EIRP (Maximum)</w:t>
            </w:r>
          </w:p>
        </w:tc>
        <w:tc>
          <w:tcPr>
            <w:tcW w:w="634" w:type="dxa"/>
            <w:tcBorders>
              <w:top w:val="nil"/>
              <w:left w:val="nil"/>
              <w:bottom w:val="single" w:sz="4" w:space="0" w:color="auto"/>
              <w:right w:val="single" w:sz="4" w:space="0" w:color="auto"/>
            </w:tcBorders>
            <w:shd w:val="clear" w:color="auto" w:fill="auto"/>
            <w:vAlign w:val="center"/>
            <w:hideMark/>
          </w:tcPr>
          <w:p w14:paraId="7ADBEB9B"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dBm</w:t>
            </w:r>
          </w:p>
        </w:tc>
        <w:tc>
          <w:tcPr>
            <w:tcW w:w="896" w:type="dxa"/>
            <w:tcBorders>
              <w:top w:val="nil"/>
              <w:left w:val="nil"/>
              <w:bottom w:val="single" w:sz="4" w:space="0" w:color="auto"/>
              <w:right w:val="single" w:sz="4" w:space="0" w:color="auto"/>
            </w:tcBorders>
            <w:shd w:val="clear" w:color="auto" w:fill="auto"/>
            <w:vAlign w:val="center"/>
            <w:hideMark/>
          </w:tcPr>
          <w:p w14:paraId="61EA929E" w14:textId="5AE9E279" w:rsidR="00B75493" w:rsidRPr="00B75493" w:rsidRDefault="00F83C3F" w:rsidP="00B75493">
            <w:pPr>
              <w:overflowPunct/>
              <w:autoSpaceDE/>
              <w:autoSpaceDN/>
              <w:adjustRightInd/>
              <w:spacing w:after="0"/>
              <w:jc w:val="right"/>
              <w:textAlignment w:val="auto"/>
              <w:rPr>
                <w:rFonts w:ascii="Arial" w:hAnsi="Arial" w:cs="Arial"/>
                <w:color w:val="000000"/>
                <w:sz w:val="16"/>
                <w:szCs w:val="16"/>
                <w:lang w:val="en-US" w:eastAsia="en-US"/>
              </w:rPr>
            </w:pPr>
            <w:r>
              <w:rPr>
                <w:rFonts w:ascii="Arial" w:hAnsi="Arial" w:cs="Arial"/>
                <w:color w:val="000000"/>
                <w:sz w:val="16"/>
                <w:szCs w:val="16"/>
                <w:lang w:val="en-US" w:eastAsia="en-US"/>
              </w:rPr>
              <w:t>27.9</w:t>
            </w:r>
            <w:r w:rsidR="00B75493" w:rsidRPr="00B75493">
              <w:rPr>
                <w:rFonts w:ascii="Arial" w:hAnsi="Arial" w:cs="Arial"/>
                <w:color w:val="000000"/>
                <w:sz w:val="16"/>
                <w:szCs w:val="16"/>
                <w:lang w:val="en-US" w:eastAsia="en-US"/>
              </w:rPr>
              <w:t>0</w:t>
            </w:r>
          </w:p>
        </w:tc>
        <w:tc>
          <w:tcPr>
            <w:tcW w:w="1176" w:type="dxa"/>
            <w:tcBorders>
              <w:top w:val="nil"/>
              <w:left w:val="nil"/>
              <w:bottom w:val="single" w:sz="4" w:space="0" w:color="auto"/>
              <w:right w:val="single" w:sz="4" w:space="0" w:color="auto"/>
            </w:tcBorders>
            <w:shd w:val="clear" w:color="000000" w:fill="D9D9D9"/>
            <w:vAlign w:val="center"/>
            <w:hideMark/>
          </w:tcPr>
          <w:p w14:paraId="7F07943B"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848" w:type="dxa"/>
            <w:tcBorders>
              <w:top w:val="nil"/>
              <w:left w:val="nil"/>
              <w:bottom w:val="single" w:sz="4" w:space="0" w:color="auto"/>
              <w:right w:val="single" w:sz="4" w:space="0" w:color="auto"/>
            </w:tcBorders>
            <w:shd w:val="clear" w:color="auto" w:fill="auto"/>
            <w:vAlign w:val="center"/>
            <w:hideMark/>
          </w:tcPr>
          <w:p w14:paraId="60CE9DA8" w14:textId="2E716214" w:rsidR="00B75493" w:rsidRPr="00B75493" w:rsidRDefault="00B75493" w:rsidP="00F83C3F">
            <w:pPr>
              <w:overflowPunct/>
              <w:autoSpaceDE/>
              <w:autoSpaceDN/>
              <w:adjustRightInd/>
              <w:spacing w:after="0"/>
              <w:jc w:val="right"/>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2</w:t>
            </w:r>
            <w:r w:rsidR="00F83C3F">
              <w:rPr>
                <w:rFonts w:ascii="Arial" w:hAnsi="Arial" w:cs="Arial"/>
                <w:color w:val="000000"/>
                <w:sz w:val="16"/>
                <w:szCs w:val="16"/>
                <w:lang w:val="en-US" w:eastAsia="en-US"/>
              </w:rPr>
              <w:t>6</w:t>
            </w:r>
            <w:r w:rsidRPr="00B75493">
              <w:rPr>
                <w:rFonts w:ascii="Arial" w:hAnsi="Arial" w:cs="Arial"/>
                <w:color w:val="000000"/>
                <w:sz w:val="16"/>
                <w:szCs w:val="16"/>
                <w:lang w:val="en-US" w:eastAsia="en-US"/>
              </w:rPr>
              <w:t>.</w:t>
            </w:r>
            <w:r w:rsidR="00F83C3F">
              <w:rPr>
                <w:rFonts w:ascii="Arial" w:hAnsi="Arial" w:cs="Arial"/>
                <w:color w:val="000000"/>
                <w:sz w:val="16"/>
                <w:szCs w:val="16"/>
                <w:lang w:val="en-US" w:eastAsia="en-US"/>
              </w:rPr>
              <w:t>3</w:t>
            </w:r>
            <w:r w:rsidRPr="00B75493">
              <w:rPr>
                <w:rFonts w:ascii="Arial" w:hAnsi="Arial" w:cs="Arial"/>
                <w:color w:val="000000"/>
                <w:sz w:val="16"/>
                <w:szCs w:val="16"/>
                <w:lang w:val="en-US" w:eastAsia="en-US"/>
              </w:rPr>
              <w:t>0</w:t>
            </w:r>
          </w:p>
        </w:tc>
        <w:tc>
          <w:tcPr>
            <w:tcW w:w="1216" w:type="dxa"/>
            <w:tcBorders>
              <w:top w:val="nil"/>
              <w:left w:val="nil"/>
              <w:bottom w:val="single" w:sz="4" w:space="0" w:color="auto"/>
              <w:right w:val="single" w:sz="4" w:space="0" w:color="auto"/>
            </w:tcBorders>
            <w:shd w:val="clear" w:color="000000" w:fill="D9D9D9"/>
            <w:vAlign w:val="center"/>
            <w:hideMark/>
          </w:tcPr>
          <w:p w14:paraId="71832A8B" w14:textId="77777777" w:rsidR="00B75493" w:rsidRPr="00B75493" w:rsidRDefault="00B75493" w:rsidP="00B75493">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 </w:t>
            </w:r>
          </w:p>
        </w:tc>
        <w:tc>
          <w:tcPr>
            <w:tcW w:w="3330" w:type="dxa"/>
            <w:tcBorders>
              <w:top w:val="nil"/>
              <w:left w:val="nil"/>
              <w:bottom w:val="single" w:sz="4" w:space="0" w:color="auto"/>
              <w:right w:val="single" w:sz="4" w:space="0" w:color="auto"/>
            </w:tcBorders>
            <w:shd w:val="clear" w:color="auto" w:fill="auto"/>
            <w:vAlign w:val="center"/>
            <w:hideMark/>
          </w:tcPr>
          <w:p w14:paraId="500401A5" w14:textId="77777777" w:rsidR="00B75493" w:rsidRPr="00B75493" w:rsidRDefault="00B75493" w:rsidP="00F90EDB">
            <w:pPr>
              <w:overflowPunct/>
              <w:autoSpaceDE/>
              <w:autoSpaceDN/>
              <w:adjustRightInd/>
              <w:spacing w:after="0"/>
              <w:textAlignment w:val="auto"/>
              <w:rPr>
                <w:rFonts w:ascii="Arial" w:hAnsi="Arial" w:cs="Arial"/>
                <w:color w:val="000000"/>
                <w:sz w:val="16"/>
                <w:szCs w:val="16"/>
                <w:lang w:val="en-US" w:eastAsia="en-US"/>
              </w:rPr>
            </w:pPr>
            <w:r w:rsidRPr="00B75493">
              <w:rPr>
                <w:rFonts w:ascii="Arial" w:hAnsi="Arial" w:cs="Arial"/>
                <w:color w:val="000000"/>
                <w:sz w:val="16"/>
                <w:szCs w:val="16"/>
                <w:lang w:val="en-US" w:eastAsia="en-US"/>
              </w:rPr>
              <w:t>Including Polarization Gain</w:t>
            </w:r>
          </w:p>
        </w:tc>
      </w:tr>
    </w:tbl>
    <w:p w14:paraId="576971E9" w14:textId="77777777" w:rsidR="00091895" w:rsidRDefault="00091895" w:rsidP="00F90EDB">
      <w:pPr>
        <w:spacing w:after="0"/>
      </w:pPr>
    </w:p>
    <w:p w14:paraId="2CB9EA9B" w14:textId="77777777" w:rsidR="00B369B0" w:rsidRDefault="00B369B0" w:rsidP="00AA3BE1">
      <w:pPr>
        <w:spacing w:after="0"/>
        <w:rPr>
          <w:rFonts w:eastAsia="Batang"/>
        </w:rPr>
      </w:pPr>
    </w:p>
    <w:p w14:paraId="3D856C4B" w14:textId="74557FAF" w:rsidR="003C4EA3" w:rsidRDefault="003C4EA3" w:rsidP="00AA3BE1">
      <w:pPr>
        <w:spacing w:after="0"/>
        <w:rPr>
          <w:rFonts w:eastAsia="Batang"/>
        </w:rPr>
      </w:pPr>
      <w:r>
        <w:rPr>
          <w:rFonts w:eastAsia="Batang"/>
        </w:rPr>
        <w:t>The PA output power provided in this derivation assumes that MPR = 0 for the DFT-</w:t>
      </w:r>
      <w:r w:rsidR="0009270A">
        <w:rPr>
          <w:rFonts w:eastAsia="Batang"/>
        </w:rPr>
        <w:t>s</w:t>
      </w:r>
      <w:r>
        <w:rPr>
          <w:rFonts w:eastAsia="Batang"/>
        </w:rPr>
        <w:t xml:space="preserve">-OFDM </w:t>
      </w:r>
      <w:r w:rsidR="007F5803">
        <w:rPr>
          <w:rFonts w:eastAsia="Batang"/>
        </w:rPr>
        <w:t xml:space="preserve">full allocation </w:t>
      </w:r>
      <w:r>
        <w:rPr>
          <w:rFonts w:eastAsia="Batang"/>
        </w:rPr>
        <w:t>wa</w:t>
      </w:r>
      <w:r w:rsidR="006428F0">
        <w:rPr>
          <w:rFonts w:eastAsia="Batang"/>
        </w:rPr>
        <w:t>veform with the QPSK modulation.</w:t>
      </w:r>
    </w:p>
    <w:p w14:paraId="6A8CCF95" w14:textId="77777777" w:rsidR="003C4EA3" w:rsidRDefault="003C4EA3" w:rsidP="00AA3BE1">
      <w:pPr>
        <w:spacing w:after="0"/>
        <w:rPr>
          <w:rFonts w:eastAsia="Batang"/>
        </w:rPr>
      </w:pPr>
    </w:p>
    <w:p w14:paraId="5E1D118C" w14:textId="19C5F6B6" w:rsidR="00D559B6" w:rsidRDefault="00D559B6" w:rsidP="00AA3BE1">
      <w:pPr>
        <w:spacing w:after="0"/>
        <w:rPr>
          <w:rFonts w:eastAsia="Batang"/>
        </w:rPr>
      </w:pPr>
      <w:r w:rsidRPr="006A6A2A">
        <w:rPr>
          <w:rFonts w:eastAsia="Batang"/>
        </w:rPr>
        <w:t>UE antennas for mm-wave devices need to</w:t>
      </w:r>
      <w:r>
        <w:rPr>
          <w:rFonts w:eastAsia="Batang"/>
        </w:rPr>
        <w:t xml:space="preserve"> support wide frequency ranges. Also, due to the inherently smaller wavelength of this frequency range, these designs are more susceptible to proximity issues and fabrication losses. Therefore, the link budget should provide a </w:t>
      </w:r>
      <w:r w:rsidR="005D1283">
        <w:rPr>
          <w:rFonts w:eastAsia="Batang"/>
        </w:rPr>
        <w:t xml:space="preserve">practical and </w:t>
      </w:r>
      <w:r>
        <w:rPr>
          <w:rFonts w:eastAsia="Batang"/>
        </w:rPr>
        <w:t>realistic depiction of these losses. Thus, the values found in Table 1 take the</w:t>
      </w:r>
      <w:r w:rsidRPr="006A6A2A">
        <w:rPr>
          <w:rFonts w:eastAsia="Batang"/>
        </w:rPr>
        <w:t xml:space="preserve"> </w:t>
      </w:r>
      <w:r>
        <w:rPr>
          <w:rFonts w:eastAsia="Batang"/>
        </w:rPr>
        <w:t xml:space="preserve">anticipated losses of an in-package environment </w:t>
      </w:r>
      <w:r w:rsidRPr="006A6A2A">
        <w:rPr>
          <w:rFonts w:eastAsia="Batang"/>
        </w:rPr>
        <w:t>and common-practice implementations into account.</w:t>
      </w:r>
    </w:p>
    <w:p w14:paraId="1C370F1D" w14:textId="77777777" w:rsidR="00D559B6" w:rsidRDefault="00D559B6" w:rsidP="00D559B6">
      <w:pPr>
        <w:spacing w:after="0"/>
        <w:rPr>
          <w:rFonts w:eastAsia="Batang"/>
        </w:rPr>
      </w:pPr>
    </w:p>
    <w:p w14:paraId="52D26B6A" w14:textId="0AA7D34B" w:rsidR="00D559B6" w:rsidRDefault="00D559B6" w:rsidP="00AA3BE1">
      <w:pPr>
        <w:spacing w:after="0"/>
        <w:rPr>
          <w:rFonts w:eastAsia="Batang"/>
        </w:rPr>
      </w:pPr>
      <w:r w:rsidRPr="00175FAF">
        <w:rPr>
          <w:rFonts w:eastAsia="Batang"/>
          <w:b/>
        </w:rPr>
        <w:t xml:space="preserve">Observation </w:t>
      </w:r>
      <w:r>
        <w:rPr>
          <w:rFonts w:eastAsia="Batang"/>
          <w:b/>
        </w:rPr>
        <w:t>1</w:t>
      </w:r>
      <w:r>
        <w:rPr>
          <w:rFonts w:eastAsia="Batang"/>
        </w:rPr>
        <w:t xml:space="preserve">: </w:t>
      </w:r>
      <w:r w:rsidR="00AA3BE1">
        <w:rPr>
          <w:rFonts w:eastAsia="Batang"/>
        </w:rPr>
        <w:t>Practical a</w:t>
      </w:r>
      <w:r>
        <w:rPr>
          <w:rFonts w:eastAsia="Batang"/>
        </w:rPr>
        <w:t>nticipated losses of in-package environment are essential at mm-wave frequencies.</w:t>
      </w:r>
    </w:p>
    <w:p w14:paraId="4018B176" w14:textId="65C69B2F" w:rsidR="00E06DF7" w:rsidRDefault="00D559B6" w:rsidP="00757137">
      <w:pPr>
        <w:spacing w:after="0"/>
        <w:rPr>
          <w:rFonts w:eastAsia="Batang"/>
        </w:rPr>
      </w:pPr>
      <w:r>
        <w:rPr>
          <w:rFonts w:eastAsia="Batang"/>
        </w:rPr>
        <w:lastRenderedPageBreak/>
        <w:t xml:space="preserve">For each parameter, </w:t>
      </w:r>
      <w:r w:rsidR="00757137">
        <w:rPr>
          <w:rFonts w:eastAsia="Batang"/>
        </w:rPr>
        <w:t>T</w:t>
      </w:r>
      <w:r w:rsidR="00E06DF7">
        <w:rPr>
          <w:rFonts w:eastAsia="Batang"/>
        </w:rPr>
        <w:t xml:space="preserve">able </w:t>
      </w:r>
      <w:r>
        <w:rPr>
          <w:rFonts w:eastAsia="Batang"/>
        </w:rPr>
        <w:t>1 provides</w:t>
      </w:r>
      <w:r w:rsidR="00E06DF7">
        <w:rPr>
          <w:rFonts w:eastAsia="Batang"/>
        </w:rPr>
        <w:t xml:space="preserve"> nominal value</w:t>
      </w:r>
      <w:r>
        <w:rPr>
          <w:rFonts w:eastAsia="Batang"/>
        </w:rPr>
        <w:t>s</w:t>
      </w:r>
      <w:r w:rsidR="00E06DF7">
        <w:rPr>
          <w:rFonts w:eastAsia="Batang"/>
        </w:rPr>
        <w:t xml:space="preserve">, along with an expected tolerance contribution. </w:t>
      </w:r>
      <w:r>
        <w:rPr>
          <w:rFonts w:eastAsia="Batang"/>
        </w:rPr>
        <w:t>In</w:t>
      </w:r>
      <w:r w:rsidR="00E06DF7" w:rsidRPr="006A6A2A">
        <w:rPr>
          <w:rFonts w:eastAsia="Batang"/>
        </w:rPr>
        <w:t xml:space="preserve"> a typical design, we anticipate a variation in gain of 1 </w:t>
      </w:r>
      <w:r w:rsidR="00E06DF7">
        <w:rPr>
          <w:rFonts w:eastAsia="Batang"/>
        </w:rPr>
        <w:t xml:space="preserve">to 1.5 </w:t>
      </w:r>
      <w:r w:rsidR="00E06DF7" w:rsidRPr="006A6A2A">
        <w:rPr>
          <w:rFonts w:eastAsia="Batang"/>
        </w:rPr>
        <w:t xml:space="preserve">dB across </w:t>
      </w:r>
      <w:r w:rsidR="00E06DF7">
        <w:rPr>
          <w:rFonts w:eastAsia="Batang"/>
        </w:rPr>
        <w:t>these</w:t>
      </w:r>
      <w:r w:rsidR="00E06DF7" w:rsidRPr="006A6A2A">
        <w:rPr>
          <w:rFonts w:eastAsia="Batang"/>
        </w:rPr>
        <w:t xml:space="preserve"> </w:t>
      </w:r>
      <w:r>
        <w:rPr>
          <w:rFonts w:eastAsia="Batang"/>
        </w:rPr>
        <w:t xml:space="preserve">mm-wave </w:t>
      </w:r>
      <w:r w:rsidR="00E06DF7" w:rsidRPr="006A6A2A">
        <w:rPr>
          <w:rFonts w:eastAsia="Batang"/>
        </w:rPr>
        <w:t>band</w:t>
      </w:r>
      <w:r w:rsidR="00E06DF7">
        <w:rPr>
          <w:rFonts w:eastAsia="Batang"/>
        </w:rPr>
        <w:t>s</w:t>
      </w:r>
      <w:r w:rsidR="00E06DF7" w:rsidRPr="00B75493">
        <w:rPr>
          <w:rFonts w:eastAsia="Batang"/>
        </w:rPr>
        <w:t xml:space="preserve">. For polarization gain, it should be noted that </w:t>
      </w:r>
      <w:r w:rsidR="009D5B94" w:rsidRPr="00B75493">
        <w:rPr>
          <w:rFonts w:eastAsia="Batang"/>
        </w:rPr>
        <w:t>the quoted 2.</w:t>
      </w:r>
      <w:r w:rsidR="00B75493" w:rsidRPr="00B75493">
        <w:rPr>
          <w:rFonts w:eastAsia="Batang"/>
        </w:rPr>
        <w:t>8</w:t>
      </w:r>
      <w:r w:rsidR="009D5B94" w:rsidRPr="00B75493">
        <w:rPr>
          <w:rFonts w:eastAsia="Batang"/>
        </w:rPr>
        <w:t xml:space="preserve"> dB takes into account cross-polarization issues in a dual-band design (not perfectly isolated</w:t>
      </w:r>
      <w:r w:rsidRPr="00B75493">
        <w:rPr>
          <w:rFonts w:eastAsia="Batang"/>
        </w:rPr>
        <w:t>)</w:t>
      </w:r>
      <w:r w:rsidR="009D5B94" w:rsidRPr="00B75493">
        <w:rPr>
          <w:rFonts w:eastAsia="Batang"/>
        </w:rPr>
        <w:t>.</w:t>
      </w:r>
    </w:p>
    <w:p w14:paraId="45756561" w14:textId="77777777" w:rsidR="00B75493" w:rsidRDefault="00B75493" w:rsidP="00757137">
      <w:pPr>
        <w:spacing w:after="0"/>
        <w:rPr>
          <w:rFonts w:eastAsia="Batang"/>
        </w:rPr>
      </w:pPr>
    </w:p>
    <w:p w14:paraId="1AF7E7DF" w14:textId="14F2ED59" w:rsidR="00D559B6" w:rsidRDefault="00D559B6" w:rsidP="00757137">
      <w:pPr>
        <w:spacing w:after="0"/>
        <w:rPr>
          <w:rFonts w:eastAsia="Batang"/>
        </w:rPr>
      </w:pPr>
      <w:r w:rsidRPr="00D559B6">
        <w:rPr>
          <w:rFonts w:eastAsia="Batang"/>
          <w:b/>
        </w:rPr>
        <w:t>Observation 2:</w:t>
      </w:r>
      <w:r>
        <w:rPr>
          <w:rFonts w:eastAsia="Batang"/>
        </w:rPr>
        <w:t xml:space="preserve"> To cover worst-case scenario, a dual-band design should be analysed</w:t>
      </w:r>
      <w:r w:rsidR="00AA3BE1">
        <w:rPr>
          <w:rFonts w:eastAsia="Batang"/>
        </w:rPr>
        <w:t>.</w:t>
      </w:r>
    </w:p>
    <w:p w14:paraId="4B0507AF" w14:textId="77777777" w:rsidR="00E06DF7" w:rsidRDefault="00E06DF7" w:rsidP="00757137">
      <w:pPr>
        <w:spacing w:after="0"/>
        <w:rPr>
          <w:rFonts w:eastAsia="Batang"/>
        </w:rPr>
      </w:pPr>
    </w:p>
    <w:p w14:paraId="52634F58" w14:textId="1BC6D327" w:rsidR="009D5B94" w:rsidRDefault="00E06DF7" w:rsidP="009D5B94">
      <w:pPr>
        <w:spacing w:after="0"/>
        <w:rPr>
          <w:rFonts w:eastAsia="Batang"/>
        </w:rPr>
      </w:pPr>
      <w:r>
        <w:rPr>
          <w:rFonts w:eastAsia="Batang"/>
        </w:rPr>
        <w:t>Previously</w:t>
      </w:r>
      <w:r w:rsidR="00757137">
        <w:rPr>
          <w:rFonts w:eastAsia="Batang"/>
        </w:rPr>
        <w:t xml:space="preserve"> [</w:t>
      </w:r>
      <w:r w:rsidR="00C5266B">
        <w:rPr>
          <w:rFonts w:eastAsia="Batang"/>
        </w:rPr>
        <w:t>5</w:t>
      </w:r>
      <w:r w:rsidR="00757137">
        <w:rPr>
          <w:rFonts w:eastAsia="Batang"/>
        </w:rPr>
        <w:t>]</w:t>
      </w:r>
      <w:r w:rsidR="00352A34">
        <w:rPr>
          <w:rFonts w:eastAsia="Batang"/>
        </w:rPr>
        <w:t>, the</w:t>
      </w:r>
      <w:r>
        <w:rPr>
          <w:rFonts w:eastAsia="Batang"/>
        </w:rPr>
        <w:t xml:space="preserve"> </w:t>
      </w:r>
      <w:r w:rsidRPr="00E06DF7">
        <w:rPr>
          <w:rFonts w:eastAsia="Batang"/>
          <w:i/>
        </w:rPr>
        <w:t>Implementation Margin</w:t>
      </w:r>
      <w:r>
        <w:rPr>
          <w:rFonts w:eastAsia="Batang"/>
        </w:rPr>
        <w:t xml:space="preserve"> and </w:t>
      </w:r>
      <w:r w:rsidRPr="00E06DF7">
        <w:rPr>
          <w:rFonts w:eastAsia="Batang"/>
          <w:i/>
        </w:rPr>
        <w:t>Case Losses</w:t>
      </w:r>
      <w:r>
        <w:rPr>
          <w:rFonts w:eastAsia="Batang"/>
        </w:rPr>
        <w:t xml:space="preserve"> </w:t>
      </w:r>
      <w:r w:rsidR="00352A34">
        <w:rPr>
          <w:rFonts w:eastAsia="Batang"/>
        </w:rPr>
        <w:t xml:space="preserve">parameters </w:t>
      </w:r>
      <w:r>
        <w:rPr>
          <w:rFonts w:eastAsia="Batang"/>
        </w:rPr>
        <w:t xml:space="preserve">captured the implementation and integration losses for the UE design. We have expanded on these terms to provide greater granularity in the link budget. </w:t>
      </w:r>
      <w:r w:rsidR="00352A34">
        <w:rPr>
          <w:rFonts w:eastAsia="Batang"/>
        </w:rPr>
        <w:t>Adding these to the beam forming terms and polarization gain, yields the total implementation loss terms found in Table 1. The loss parameters</w:t>
      </w:r>
      <w:r>
        <w:rPr>
          <w:rFonts w:eastAsia="Batang"/>
        </w:rPr>
        <w:t xml:space="preserve"> are broken down </w:t>
      </w:r>
      <w:r w:rsidR="009D5B94">
        <w:rPr>
          <w:rFonts w:eastAsia="Batang"/>
        </w:rPr>
        <w:t xml:space="preserve">and detailed below. </w:t>
      </w:r>
    </w:p>
    <w:p w14:paraId="65791460" w14:textId="79DD5C8F" w:rsidR="00E06DF7" w:rsidRPr="00E06DF7" w:rsidRDefault="00E06DF7" w:rsidP="00E06DF7">
      <w:pPr>
        <w:pStyle w:val="ListParagraph"/>
        <w:numPr>
          <w:ilvl w:val="0"/>
          <w:numId w:val="18"/>
        </w:numPr>
        <w:spacing w:after="0"/>
        <w:rPr>
          <w:rFonts w:eastAsia="Batang"/>
        </w:rPr>
      </w:pPr>
      <w:r w:rsidRPr="009D5B94">
        <w:rPr>
          <w:rFonts w:eastAsia="Batang"/>
          <w:i/>
        </w:rPr>
        <w:t>Mismatch and transmission line loss</w:t>
      </w:r>
      <w:r w:rsidRPr="00E06DF7">
        <w:rPr>
          <w:rFonts w:eastAsia="Batang"/>
        </w:rPr>
        <w:t xml:space="preserve"> - captures variances in the antenna feed network.</w:t>
      </w:r>
    </w:p>
    <w:p w14:paraId="069E9A32" w14:textId="51E65175" w:rsidR="00E06DF7" w:rsidRPr="00E06DF7" w:rsidRDefault="00E06DF7" w:rsidP="00E06DF7">
      <w:pPr>
        <w:pStyle w:val="ListParagraph"/>
        <w:numPr>
          <w:ilvl w:val="0"/>
          <w:numId w:val="18"/>
        </w:numPr>
        <w:spacing w:after="0"/>
        <w:rPr>
          <w:rFonts w:eastAsia="Batang"/>
        </w:rPr>
      </w:pPr>
      <w:r w:rsidRPr="009D5B94">
        <w:rPr>
          <w:rFonts w:eastAsia="Batang"/>
          <w:i/>
        </w:rPr>
        <w:t>Form factor integration</w:t>
      </w:r>
      <w:r w:rsidRPr="00E06DF7">
        <w:rPr>
          <w:rFonts w:eastAsia="Batang"/>
        </w:rPr>
        <w:t xml:space="preserve"> - illustrates losses suffered once the antenna is integrated into the device case/environment</w:t>
      </w:r>
    </w:p>
    <w:p w14:paraId="11ABCA58" w14:textId="38B160D0" w:rsidR="00E06DF7" w:rsidRPr="00E06DF7" w:rsidRDefault="00E06DF7" w:rsidP="00E06DF7">
      <w:pPr>
        <w:pStyle w:val="ListParagraph"/>
        <w:numPr>
          <w:ilvl w:val="0"/>
          <w:numId w:val="18"/>
        </w:numPr>
        <w:spacing w:after="0"/>
        <w:rPr>
          <w:rFonts w:eastAsia="Batang"/>
        </w:rPr>
      </w:pPr>
      <w:r w:rsidRPr="009D5B94">
        <w:rPr>
          <w:rFonts w:eastAsia="Batang"/>
          <w:i/>
        </w:rPr>
        <w:t>Module/assembly variations</w:t>
      </w:r>
      <w:r w:rsidRPr="00E06DF7">
        <w:rPr>
          <w:rFonts w:eastAsia="Batang"/>
        </w:rPr>
        <w:t xml:space="preserve"> - include</w:t>
      </w:r>
      <w:r w:rsidR="009D5B94">
        <w:rPr>
          <w:rFonts w:eastAsia="Batang"/>
        </w:rPr>
        <w:t>s</w:t>
      </w:r>
      <w:r w:rsidRPr="00E06DF7">
        <w:rPr>
          <w:rFonts w:eastAsia="Batang"/>
        </w:rPr>
        <w:t xml:space="preserve"> fabrication tolerances</w:t>
      </w:r>
      <w:r w:rsidR="008A5C66">
        <w:rPr>
          <w:rFonts w:eastAsia="Batang"/>
        </w:rPr>
        <w:t>,</w:t>
      </w:r>
      <w:r w:rsidRPr="00E06DF7">
        <w:rPr>
          <w:rFonts w:eastAsia="Batang"/>
        </w:rPr>
        <w:t xml:space="preserve"> registration </w:t>
      </w:r>
      <w:r w:rsidR="008A5C66">
        <w:rPr>
          <w:rFonts w:eastAsia="Batang"/>
        </w:rPr>
        <w:t xml:space="preserve">and alignment </w:t>
      </w:r>
      <w:r w:rsidRPr="00E06DF7">
        <w:rPr>
          <w:rFonts w:eastAsia="Batang"/>
        </w:rPr>
        <w:t>issues for the design, as well as any substrate irregularities</w:t>
      </w:r>
    </w:p>
    <w:p w14:paraId="1B4B7B03" w14:textId="77777777" w:rsidR="00B75493" w:rsidRDefault="00B75493" w:rsidP="00AA3BE1">
      <w:pPr>
        <w:spacing w:after="0"/>
        <w:rPr>
          <w:rFonts w:eastAsia="Batang"/>
        </w:rPr>
      </w:pPr>
    </w:p>
    <w:p w14:paraId="644D3E53" w14:textId="1E378382" w:rsidR="00B369B0" w:rsidRDefault="00B369B0" w:rsidP="00AA3BE1">
      <w:pPr>
        <w:spacing w:after="0"/>
      </w:pPr>
      <w:r>
        <w:t>To help quantify the form factor integration loss parameter, an experiment was performed where the</w:t>
      </w:r>
      <w:r w:rsidRPr="00B369B0">
        <w:t xml:space="preserve"> penetration loss through glass positioned </w:t>
      </w:r>
      <w:r>
        <w:t xml:space="preserve">directly </w:t>
      </w:r>
      <w:r w:rsidRPr="00B369B0">
        <w:t>in front of a 4x4 antenna array</w:t>
      </w:r>
      <w:r>
        <w:t xml:space="preserve"> was measured. The figure below shows a histogram of the measured peak EIRP loss at 28 GHz.</w:t>
      </w:r>
    </w:p>
    <w:p w14:paraId="7D26CB3C" w14:textId="77777777" w:rsidR="00B369B0" w:rsidRPr="00B369B0" w:rsidRDefault="00B369B0" w:rsidP="00B369B0">
      <w:pPr>
        <w:spacing w:before="240" w:after="0"/>
        <w:rPr>
          <w:rFonts w:eastAsia="Batang"/>
          <w:b/>
        </w:rPr>
      </w:pPr>
    </w:p>
    <w:p w14:paraId="751BB781" w14:textId="513BEEC2" w:rsidR="00B369B0" w:rsidRDefault="00B369B0" w:rsidP="00B369B0">
      <w:pPr>
        <w:spacing w:before="120" w:after="0"/>
        <w:jc w:val="center"/>
        <w:rPr>
          <w:b/>
        </w:rPr>
      </w:pPr>
      <w:r>
        <w:rPr>
          <w:b/>
        </w:rPr>
        <w:t>Figure</w:t>
      </w:r>
      <w:r w:rsidRPr="00AC1384">
        <w:rPr>
          <w:b/>
        </w:rPr>
        <w:t xml:space="preserve"> </w:t>
      </w:r>
      <w:r>
        <w:rPr>
          <w:b/>
        </w:rPr>
        <w:t>1</w:t>
      </w:r>
      <w:r>
        <w:rPr>
          <w:b/>
        </w:rPr>
        <w:t xml:space="preserve">: </w:t>
      </w:r>
      <w:r>
        <w:rPr>
          <w:b/>
        </w:rPr>
        <w:t>Histogram of measured peak EIRP loss at 28 GHz</w:t>
      </w:r>
    </w:p>
    <w:p w14:paraId="42F8C7AF" w14:textId="5090F354" w:rsidR="00B369B0" w:rsidRDefault="00B369B0" w:rsidP="00AA3BE1">
      <w:pPr>
        <w:spacing w:after="0"/>
        <w:rPr>
          <w:rFonts w:eastAsia="Batang"/>
          <w:b/>
        </w:rPr>
      </w:pPr>
      <w:r>
        <w:rPr>
          <w:noProof/>
          <w:lang w:val="en-US" w:eastAsia="en-US"/>
        </w:rPr>
        <w:drawing>
          <wp:inline distT="0" distB="0" distL="0" distR="0" wp14:anchorId="7E9E5EB1" wp14:editId="313EFC3B">
            <wp:extent cx="6122035" cy="4587703"/>
            <wp:effectExtent l="0" t="0" r="0" b="3810"/>
            <wp:docPr id="3" name="Picture 3" descr="cid:95d2b8b2-892a-4b20-841c-1363d9239bb8@intel.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95d2b8b2-892a-4b20-841c-1363d9239bb8@intel.com"/>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2035" cy="4587703"/>
                    </a:xfrm>
                    <a:prstGeom prst="rect">
                      <a:avLst/>
                    </a:prstGeom>
                    <a:noFill/>
                    <a:ln>
                      <a:noFill/>
                    </a:ln>
                  </pic:spPr>
                </pic:pic>
              </a:graphicData>
            </a:graphic>
          </wp:inline>
        </w:drawing>
      </w:r>
    </w:p>
    <w:p w14:paraId="5D116468" w14:textId="77777777" w:rsidR="00B369B0" w:rsidRDefault="00B369B0" w:rsidP="00AA3BE1">
      <w:pPr>
        <w:spacing w:after="0"/>
        <w:rPr>
          <w:rFonts w:eastAsia="Batang"/>
          <w:b/>
        </w:rPr>
      </w:pPr>
    </w:p>
    <w:p w14:paraId="7F45CFD4" w14:textId="77777777" w:rsidR="00B369B0" w:rsidRDefault="00B369B0" w:rsidP="00AA3BE1">
      <w:pPr>
        <w:spacing w:after="0"/>
        <w:rPr>
          <w:rFonts w:eastAsia="Batang"/>
          <w:b/>
        </w:rPr>
      </w:pPr>
    </w:p>
    <w:p w14:paraId="3443075B" w14:textId="77777777" w:rsidR="00B369B0" w:rsidRDefault="00B369B0" w:rsidP="00AA3BE1">
      <w:pPr>
        <w:spacing w:after="0"/>
        <w:rPr>
          <w:rFonts w:eastAsia="Batang"/>
          <w:b/>
        </w:rPr>
      </w:pPr>
    </w:p>
    <w:p w14:paraId="0A7DF3F8" w14:textId="77777777" w:rsidR="00B369B0" w:rsidRDefault="00B369B0" w:rsidP="00AA3BE1">
      <w:pPr>
        <w:spacing w:after="0"/>
        <w:rPr>
          <w:rFonts w:eastAsia="Batang"/>
          <w:b/>
        </w:rPr>
      </w:pPr>
    </w:p>
    <w:p w14:paraId="1D0536A1" w14:textId="77777777" w:rsidR="00B369B0" w:rsidRDefault="00B369B0" w:rsidP="00AA3BE1">
      <w:pPr>
        <w:spacing w:after="0"/>
        <w:rPr>
          <w:rFonts w:eastAsia="Batang"/>
          <w:b/>
        </w:rPr>
      </w:pPr>
    </w:p>
    <w:p w14:paraId="6C0D878A" w14:textId="77777777" w:rsidR="00B369B0" w:rsidRDefault="00B369B0" w:rsidP="00AA3BE1">
      <w:pPr>
        <w:spacing w:after="0"/>
        <w:rPr>
          <w:rFonts w:eastAsia="Batang"/>
          <w:b/>
        </w:rPr>
      </w:pPr>
    </w:p>
    <w:p w14:paraId="5E15BD28" w14:textId="77777777" w:rsidR="00B369B0" w:rsidRDefault="00B369B0" w:rsidP="00AA3BE1">
      <w:pPr>
        <w:spacing w:after="0"/>
        <w:rPr>
          <w:rFonts w:eastAsia="Batang"/>
          <w:b/>
        </w:rPr>
      </w:pPr>
    </w:p>
    <w:p w14:paraId="03068379" w14:textId="77777777" w:rsidR="00B369B0" w:rsidRDefault="00B369B0" w:rsidP="00AA3BE1">
      <w:pPr>
        <w:spacing w:after="0"/>
        <w:rPr>
          <w:rFonts w:eastAsia="Batang"/>
          <w:b/>
        </w:rPr>
      </w:pPr>
    </w:p>
    <w:p w14:paraId="39BAE53A" w14:textId="4614FB7D" w:rsidR="00B75493" w:rsidRPr="000E0602" w:rsidRDefault="00B75493" w:rsidP="00AA3BE1">
      <w:pPr>
        <w:spacing w:after="0"/>
        <w:rPr>
          <w:rFonts w:eastAsia="Batang"/>
        </w:rPr>
      </w:pPr>
      <w:r w:rsidRPr="000E0602">
        <w:rPr>
          <w:rFonts w:eastAsia="Batang"/>
          <w:b/>
        </w:rPr>
        <w:lastRenderedPageBreak/>
        <w:t>Observation 3</w:t>
      </w:r>
      <w:r w:rsidRPr="000E0602">
        <w:rPr>
          <w:rFonts w:eastAsia="Batang"/>
        </w:rPr>
        <w:t>: For the low frequency</w:t>
      </w:r>
      <w:r w:rsidR="008B08C6" w:rsidRPr="000E0602">
        <w:rPr>
          <w:rFonts w:eastAsia="Batang"/>
        </w:rPr>
        <w:t xml:space="preserve"> range the nominal, tolerance, and minimum values of </w:t>
      </w:r>
      <w:r w:rsidR="006B7454" w:rsidRPr="000E0602">
        <w:rPr>
          <w:rFonts w:eastAsia="Batang"/>
        </w:rPr>
        <w:t xml:space="preserve">peak </w:t>
      </w:r>
      <w:r w:rsidR="008B08C6" w:rsidRPr="000E0602">
        <w:rPr>
          <w:rFonts w:eastAsia="Batang"/>
        </w:rPr>
        <w:t>EIRP are 2</w:t>
      </w:r>
      <w:r w:rsidR="000E0602" w:rsidRPr="000E0602">
        <w:rPr>
          <w:rFonts w:eastAsia="Batang"/>
        </w:rPr>
        <w:t>4</w:t>
      </w:r>
      <w:r w:rsidR="008B08C6" w:rsidRPr="000E0602">
        <w:rPr>
          <w:rFonts w:eastAsia="Batang"/>
        </w:rPr>
        <w:t>.</w:t>
      </w:r>
      <w:r w:rsidR="000E0602" w:rsidRPr="000E0602">
        <w:rPr>
          <w:rFonts w:eastAsia="Batang"/>
        </w:rPr>
        <w:t>0</w:t>
      </w:r>
      <w:r w:rsidR="008B08C6" w:rsidRPr="000E0602">
        <w:rPr>
          <w:rFonts w:eastAsia="Batang"/>
        </w:rPr>
        <w:t xml:space="preserve">5, 3.85, and </w:t>
      </w:r>
      <w:r w:rsidR="000E0602" w:rsidRPr="000E0602">
        <w:rPr>
          <w:rFonts w:eastAsia="Batang"/>
        </w:rPr>
        <w:t>20</w:t>
      </w:r>
      <w:r w:rsidR="008B08C6" w:rsidRPr="000E0602">
        <w:rPr>
          <w:rFonts w:eastAsia="Batang"/>
        </w:rPr>
        <w:t>.</w:t>
      </w:r>
      <w:r w:rsidR="000E0602" w:rsidRPr="000E0602">
        <w:rPr>
          <w:rFonts w:eastAsia="Batang"/>
        </w:rPr>
        <w:t>20</w:t>
      </w:r>
      <w:r w:rsidR="008B08C6" w:rsidRPr="000E0602">
        <w:rPr>
          <w:rFonts w:eastAsia="Batang"/>
        </w:rPr>
        <w:t xml:space="preserve"> dBm, respectively</w:t>
      </w:r>
      <w:r w:rsidR="00F90EDB" w:rsidRPr="000E0602">
        <w:rPr>
          <w:rFonts w:eastAsia="Batang"/>
        </w:rPr>
        <w:t>.</w:t>
      </w:r>
    </w:p>
    <w:p w14:paraId="7176335B" w14:textId="77777777" w:rsidR="008B08C6" w:rsidRPr="00C619C2" w:rsidRDefault="008B08C6" w:rsidP="00AA3BE1">
      <w:pPr>
        <w:spacing w:after="0"/>
        <w:rPr>
          <w:rFonts w:eastAsia="Batang"/>
          <w:highlight w:val="yellow"/>
        </w:rPr>
      </w:pPr>
    </w:p>
    <w:p w14:paraId="1AB4E892" w14:textId="59769214" w:rsidR="00AA3BE1" w:rsidRDefault="008B08C6" w:rsidP="008B08C6">
      <w:pPr>
        <w:spacing w:after="0"/>
        <w:rPr>
          <w:rFonts w:eastAsia="Batang"/>
        </w:rPr>
      </w:pPr>
      <w:r w:rsidRPr="00F979C8">
        <w:rPr>
          <w:rFonts w:eastAsia="Batang"/>
          <w:b/>
        </w:rPr>
        <w:t>Observation 4</w:t>
      </w:r>
      <w:r w:rsidRPr="00F979C8">
        <w:rPr>
          <w:rFonts w:eastAsia="Batang"/>
        </w:rPr>
        <w:t xml:space="preserve">: For the high frequency range the nominal, tolerance, and minimum values of </w:t>
      </w:r>
      <w:r w:rsidR="006B7454" w:rsidRPr="00F979C8">
        <w:rPr>
          <w:rFonts w:eastAsia="Batang"/>
        </w:rPr>
        <w:t xml:space="preserve">peak </w:t>
      </w:r>
      <w:r w:rsidRPr="00F979C8">
        <w:rPr>
          <w:rFonts w:eastAsia="Batang"/>
        </w:rPr>
        <w:t>EIRP are 2</w:t>
      </w:r>
      <w:r w:rsidR="00F979C8" w:rsidRPr="00F979C8">
        <w:rPr>
          <w:rFonts w:eastAsia="Batang"/>
        </w:rPr>
        <w:t>2</w:t>
      </w:r>
      <w:r w:rsidRPr="00F979C8">
        <w:rPr>
          <w:rFonts w:eastAsia="Batang"/>
        </w:rPr>
        <w:t>.</w:t>
      </w:r>
      <w:r w:rsidR="00F979C8" w:rsidRPr="00F979C8">
        <w:rPr>
          <w:rFonts w:eastAsia="Batang"/>
        </w:rPr>
        <w:t>3</w:t>
      </w:r>
      <w:r w:rsidRPr="00F979C8">
        <w:rPr>
          <w:rFonts w:eastAsia="Batang"/>
        </w:rPr>
        <w:t>5, 3.95, and 1</w:t>
      </w:r>
      <w:r w:rsidR="00F979C8" w:rsidRPr="00F979C8">
        <w:rPr>
          <w:rFonts w:eastAsia="Batang"/>
        </w:rPr>
        <w:t>8</w:t>
      </w:r>
      <w:r w:rsidRPr="00F979C8">
        <w:rPr>
          <w:rFonts w:eastAsia="Batang"/>
        </w:rPr>
        <w:t>.</w:t>
      </w:r>
      <w:r w:rsidR="00F979C8" w:rsidRPr="00F979C8">
        <w:rPr>
          <w:rFonts w:eastAsia="Batang"/>
        </w:rPr>
        <w:t>4</w:t>
      </w:r>
      <w:r w:rsidRPr="00F979C8">
        <w:rPr>
          <w:rFonts w:eastAsia="Batang"/>
        </w:rPr>
        <w:t>0 dBm, respectively</w:t>
      </w:r>
      <w:r w:rsidR="00F90EDB" w:rsidRPr="00F979C8">
        <w:rPr>
          <w:rFonts w:eastAsia="Batang"/>
        </w:rPr>
        <w:t>.</w:t>
      </w:r>
    </w:p>
    <w:p w14:paraId="5111CAB7" w14:textId="77777777" w:rsidR="008B08C6" w:rsidRPr="008B08C6" w:rsidRDefault="008B08C6" w:rsidP="008B08C6">
      <w:pPr>
        <w:spacing w:after="0"/>
        <w:rPr>
          <w:rFonts w:eastAsia="Batang"/>
        </w:rPr>
      </w:pPr>
    </w:p>
    <w:p w14:paraId="1019AFC9" w14:textId="329AA3E6" w:rsidR="00AA3BE1" w:rsidRDefault="00AA3BE1" w:rsidP="00AA3BE1">
      <w:pPr>
        <w:pStyle w:val="Heading2"/>
        <w:rPr>
          <w:rFonts w:eastAsia="Batang"/>
        </w:rPr>
      </w:pPr>
      <w:r>
        <w:rPr>
          <w:rFonts w:eastAsia="Batang"/>
        </w:rPr>
        <w:t>2.3</w:t>
      </w:r>
      <w:r>
        <w:rPr>
          <w:rFonts w:eastAsia="Batang"/>
        </w:rPr>
        <w:tab/>
        <w:t>Survey of reported results</w:t>
      </w:r>
    </w:p>
    <w:p w14:paraId="28DD70A9" w14:textId="7FC5AD67" w:rsidR="003E7B37" w:rsidRDefault="00AA3BE1" w:rsidP="003E7B37">
      <w:pPr>
        <w:spacing w:after="0"/>
        <w:rPr>
          <w:rFonts w:eastAsia="Batang"/>
        </w:rPr>
      </w:pPr>
      <w:r>
        <w:rPr>
          <w:rFonts w:eastAsia="Batang"/>
        </w:rPr>
        <w:t xml:space="preserve">Now that we have established a baseline for nominal values taking integration losses and form factor into account, we present a summary </w:t>
      </w:r>
      <w:r w:rsidR="00C619C2">
        <w:rPr>
          <w:rFonts w:eastAsia="Batang"/>
        </w:rPr>
        <w:t>co-signing companies’</w:t>
      </w:r>
      <w:r>
        <w:rPr>
          <w:rFonts w:eastAsia="Batang"/>
        </w:rPr>
        <w:t xml:space="preserve"> contributions to evaluate how we can align in</w:t>
      </w:r>
      <w:r w:rsidR="00F0600A">
        <w:rPr>
          <w:rFonts w:eastAsia="Batang"/>
        </w:rPr>
        <w:t xml:space="preserve"> choosing the right EIRP value.</w:t>
      </w:r>
    </w:p>
    <w:p w14:paraId="31042754" w14:textId="77777777" w:rsidR="003E7B37" w:rsidRPr="003E7B37" w:rsidRDefault="003E7B37" w:rsidP="003E7B37">
      <w:pPr>
        <w:spacing w:after="0"/>
        <w:rPr>
          <w:rFonts w:eastAsia="Batang"/>
          <w:sz w:val="16"/>
        </w:rPr>
      </w:pPr>
    </w:p>
    <w:p w14:paraId="1AA5EA93" w14:textId="0AA18370" w:rsidR="004858F4" w:rsidRDefault="004858F4" w:rsidP="004858F4">
      <w:pPr>
        <w:pStyle w:val="Caption"/>
        <w:keepNext/>
        <w:jc w:val="center"/>
      </w:pPr>
      <w:r>
        <w:t xml:space="preserve">Table </w:t>
      </w:r>
      <w:r>
        <w:fldChar w:fldCharType="begin"/>
      </w:r>
      <w:r>
        <w:instrText xml:space="preserve"> SEQ Table \* ARABIC </w:instrText>
      </w:r>
      <w:r>
        <w:fldChar w:fldCharType="separate"/>
      </w:r>
      <w:r w:rsidR="005B7CD5">
        <w:rPr>
          <w:noProof/>
        </w:rPr>
        <w:t>2</w:t>
      </w:r>
      <w:r>
        <w:fldChar w:fldCharType="end"/>
      </w:r>
      <w:r>
        <w:t xml:space="preserve">: Survey of reported results for </w:t>
      </w:r>
      <w:r w:rsidR="00C34AD4">
        <w:t xml:space="preserve">peak </w:t>
      </w:r>
      <w:r>
        <w:t>EIRP</w:t>
      </w:r>
    </w:p>
    <w:tbl>
      <w:tblPr>
        <w:tblW w:w="11610" w:type="dxa"/>
        <w:tblInd w:w="-1080" w:type="dxa"/>
        <w:tblLayout w:type="fixed"/>
        <w:tblLook w:val="04A0" w:firstRow="1" w:lastRow="0" w:firstColumn="1" w:lastColumn="0" w:noHBand="0" w:noVBand="1"/>
      </w:tblPr>
      <w:tblGrid>
        <w:gridCol w:w="1053"/>
        <w:gridCol w:w="501"/>
        <w:gridCol w:w="785"/>
        <w:gridCol w:w="631"/>
        <w:gridCol w:w="862"/>
        <w:gridCol w:w="634"/>
        <w:gridCol w:w="792"/>
        <w:gridCol w:w="634"/>
        <w:gridCol w:w="792"/>
        <w:gridCol w:w="630"/>
        <w:gridCol w:w="792"/>
        <w:gridCol w:w="634"/>
        <w:gridCol w:w="792"/>
        <w:gridCol w:w="634"/>
        <w:gridCol w:w="792"/>
        <w:gridCol w:w="634"/>
        <w:gridCol w:w="18"/>
      </w:tblGrid>
      <w:tr w:rsidR="000956EC" w:rsidRPr="000956EC" w14:paraId="440D593B" w14:textId="77777777" w:rsidTr="00E57CA1">
        <w:trPr>
          <w:gridAfter w:val="1"/>
          <w:wAfter w:w="18" w:type="dxa"/>
          <w:trHeight w:val="330"/>
        </w:trPr>
        <w:tc>
          <w:tcPr>
            <w:tcW w:w="1053" w:type="dxa"/>
            <w:tcBorders>
              <w:top w:val="double" w:sz="6" w:space="0" w:color="auto"/>
              <w:bottom w:val="single" w:sz="4" w:space="0" w:color="auto"/>
              <w:right w:val="single" w:sz="4" w:space="0" w:color="auto"/>
            </w:tcBorders>
            <w:shd w:val="clear" w:color="auto" w:fill="auto"/>
            <w:vAlign w:val="center"/>
          </w:tcPr>
          <w:p w14:paraId="0D5C745A" w14:textId="6F4384E6" w:rsidR="000956EC" w:rsidRPr="000956EC" w:rsidRDefault="000956EC" w:rsidP="005D2550">
            <w:pPr>
              <w:overflowPunct/>
              <w:autoSpaceDE/>
              <w:autoSpaceDN/>
              <w:adjustRightInd/>
              <w:spacing w:after="0"/>
              <w:textAlignment w:val="auto"/>
              <w:rPr>
                <w:rFonts w:ascii="Arial" w:hAnsi="Arial" w:cs="Arial"/>
                <w:b/>
                <w:color w:val="000000"/>
                <w:sz w:val="12"/>
                <w:szCs w:val="14"/>
                <w:lang w:val="en-US" w:eastAsia="en-US"/>
              </w:rPr>
            </w:pPr>
            <w:r w:rsidRPr="000956EC">
              <w:rPr>
                <w:rFonts w:ascii="Arial" w:hAnsi="Arial" w:cs="Arial"/>
                <w:b/>
                <w:color w:val="000000"/>
                <w:sz w:val="12"/>
                <w:szCs w:val="14"/>
                <w:lang w:val="en-US" w:eastAsia="en-US"/>
              </w:rPr>
              <w:t>Parameter</w:t>
            </w:r>
          </w:p>
        </w:tc>
        <w:tc>
          <w:tcPr>
            <w:tcW w:w="501" w:type="dxa"/>
            <w:tcBorders>
              <w:top w:val="double" w:sz="6" w:space="0" w:color="auto"/>
              <w:left w:val="nil"/>
              <w:bottom w:val="single" w:sz="4" w:space="0" w:color="auto"/>
              <w:right w:val="single" w:sz="12" w:space="0" w:color="auto"/>
            </w:tcBorders>
            <w:shd w:val="clear" w:color="auto" w:fill="auto"/>
            <w:vAlign w:val="center"/>
          </w:tcPr>
          <w:p w14:paraId="2EE85020" w14:textId="1F2183B1" w:rsidR="000956EC" w:rsidRPr="000956EC" w:rsidRDefault="000956EC" w:rsidP="000956EC">
            <w:pPr>
              <w:overflowPunct/>
              <w:autoSpaceDE/>
              <w:autoSpaceDN/>
              <w:adjustRightInd/>
              <w:spacing w:after="0"/>
              <w:jc w:val="center"/>
              <w:textAlignment w:val="auto"/>
              <w:rPr>
                <w:rFonts w:ascii="Arial" w:hAnsi="Arial" w:cs="Arial"/>
                <w:b/>
                <w:color w:val="000000"/>
                <w:sz w:val="12"/>
                <w:szCs w:val="14"/>
                <w:lang w:val="en-US" w:eastAsia="en-US"/>
              </w:rPr>
            </w:pPr>
            <w:r w:rsidRPr="000956EC">
              <w:rPr>
                <w:rFonts w:ascii="Arial" w:hAnsi="Arial" w:cs="Arial"/>
                <w:b/>
                <w:color w:val="000000"/>
                <w:sz w:val="12"/>
                <w:szCs w:val="14"/>
                <w:lang w:val="en-US" w:eastAsia="en-US"/>
              </w:rPr>
              <w:t>Unit</w:t>
            </w:r>
          </w:p>
        </w:tc>
        <w:tc>
          <w:tcPr>
            <w:tcW w:w="1416" w:type="dxa"/>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165CC954" w14:textId="3F0DD36E" w:rsidR="000956EC" w:rsidRPr="000956EC" w:rsidRDefault="00710323" w:rsidP="000956EC">
            <w:pPr>
              <w:overflowPunct/>
              <w:autoSpaceDE/>
              <w:autoSpaceDN/>
              <w:adjustRightInd/>
              <w:spacing w:after="0"/>
              <w:jc w:val="center"/>
              <w:textAlignment w:val="auto"/>
              <w:rPr>
                <w:rFonts w:ascii="Arial" w:hAnsi="Arial" w:cs="Arial"/>
                <w:b/>
                <w:color w:val="000000"/>
                <w:sz w:val="12"/>
                <w:szCs w:val="12"/>
                <w:lang w:val="en-US" w:eastAsia="en-US"/>
              </w:rPr>
            </w:pPr>
            <w:r>
              <w:rPr>
                <w:rFonts w:ascii="Arial" w:hAnsi="Arial" w:cs="Arial"/>
                <w:b/>
                <w:color w:val="000000"/>
                <w:sz w:val="12"/>
                <w:szCs w:val="12"/>
                <w:lang w:val="en-US" w:eastAsia="en-US"/>
              </w:rPr>
              <w:t>Company A</w:t>
            </w:r>
          </w:p>
        </w:tc>
        <w:tc>
          <w:tcPr>
            <w:tcW w:w="1496" w:type="dxa"/>
            <w:gridSpan w:val="2"/>
            <w:tcBorders>
              <w:top w:val="double" w:sz="6" w:space="0" w:color="auto"/>
              <w:left w:val="single" w:sz="12" w:space="0" w:color="auto"/>
              <w:bottom w:val="single" w:sz="4" w:space="0" w:color="auto"/>
              <w:right w:val="single" w:sz="12" w:space="0" w:color="auto"/>
            </w:tcBorders>
            <w:vAlign w:val="center"/>
          </w:tcPr>
          <w:p w14:paraId="3B714CB2" w14:textId="1C4E160A" w:rsidR="000956EC" w:rsidRPr="000956EC" w:rsidRDefault="00710323" w:rsidP="000956EC">
            <w:pPr>
              <w:overflowPunct/>
              <w:autoSpaceDE/>
              <w:autoSpaceDN/>
              <w:adjustRightInd/>
              <w:spacing w:after="0"/>
              <w:jc w:val="center"/>
              <w:textAlignment w:val="auto"/>
              <w:rPr>
                <w:rFonts w:ascii="Arial" w:hAnsi="Arial" w:cs="Arial"/>
                <w:b/>
                <w:color w:val="000000"/>
                <w:sz w:val="12"/>
                <w:szCs w:val="12"/>
                <w:lang w:val="en-US" w:eastAsia="en-US"/>
              </w:rPr>
            </w:pPr>
            <w:r>
              <w:rPr>
                <w:rFonts w:ascii="Arial" w:hAnsi="Arial" w:cs="Arial"/>
                <w:b/>
                <w:color w:val="000000"/>
                <w:sz w:val="12"/>
                <w:szCs w:val="12"/>
                <w:lang w:val="en-US" w:eastAsia="en-US"/>
              </w:rPr>
              <w:t>Company B</w:t>
            </w:r>
          </w:p>
        </w:tc>
        <w:tc>
          <w:tcPr>
            <w:tcW w:w="1426" w:type="dxa"/>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596283AA" w14:textId="7B8B839B" w:rsidR="000956EC" w:rsidRPr="000956EC" w:rsidRDefault="00710323" w:rsidP="000956EC">
            <w:pPr>
              <w:overflowPunct/>
              <w:autoSpaceDE/>
              <w:autoSpaceDN/>
              <w:adjustRightInd/>
              <w:spacing w:after="0"/>
              <w:jc w:val="center"/>
              <w:textAlignment w:val="auto"/>
              <w:rPr>
                <w:rFonts w:ascii="Arial" w:hAnsi="Arial" w:cs="Arial"/>
                <w:b/>
                <w:color w:val="000000"/>
                <w:sz w:val="12"/>
                <w:szCs w:val="12"/>
                <w:lang w:val="en-US" w:eastAsia="en-US"/>
              </w:rPr>
            </w:pPr>
            <w:r>
              <w:rPr>
                <w:rFonts w:ascii="Arial" w:hAnsi="Arial" w:cs="Arial"/>
                <w:b/>
                <w:color w:val="000000"/>
                <w:sz w:val="12"/>
                <w:szCs w:val="12"/>
                <w:lang w:val="en-US" w:eastAsia="en-US"/>
              </w:rPr>
              <w:t>Company C</w:t>
            </w:r>
          </w:p>
        </w:tc>
        <w:tc>
          <w:tcPr>
            <w:tcW w:w="1422" w:type="dxa"/>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50F5A449" w14:textId="65517F44" w:rsidR="000956EC" w:rsidRPr="000956EC" w:rsidRDefault="00710323" w:rsidP="000956EC">
            <w:pPr>
              <w:overflowPunct/>
              <w:autoSpaceDE/>
              <w:autoSpaceDN/>
              <w:adjustRightInd/>
              <w:spacing w:after="0"/>
              <w:jc w:val="center"/>
              <w:textAlignment w:val="auto"/>
              <w:rPr>
                <w:rFonts w:ascii="Arial" w:hAnsi="Arial" w:cs="Arial"/>
                <w:b/>
                <w:color w:val="000000"/>
                <w:sz w:val="12"/>
                <w:szCs w:val="12"/>
                <w:lang w:val="en-US" w:eastAsia="en-US"/>
              </w:rPr>
            </w:pPr>
            <w:r>
              <w:rPr>
                <w:rFonts w:ascii="Arial" w:hAnsi="Arial" w:cs="Arial"/>
                <w:b/>
                <w:color w:val="000000"/>
                <w:sz w:val="12"/>
                <w:szCs w:val="12"/>
                <w:lang w:val="en-US" w:eastAsia="en-US"/>
              </w:rPr>
              <w:t>Company D</w:t>
            </w:r>
          </w:p>
        </w:tc>
        <w:tc>
          <w:tcPr>
            <w:tcW w:w="1426" w:type="dxa"/>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413F8602" w14:textId="0F1EBBA6" w:rsidR="000956EC" w:rsidRPr="000956EC" w:rsidRDefault="00710323" w:rsidP="000956EC">
            <w:pPr>
              <w:overflowPunct/>
              <w:autoSpaceDE/>
              <w:autoSpaceDN/>
              <w:adjustRightInd/>
              <w:spacing w:after="0"/>
              <w:jc w:val="center"/>
              <w:textAlignment w:val="auto"/>
              <w:rPr>
                <w:rFonts w:ascii="Arial" w:hAnsi="Arial" w:cs="Arial"/>
                <w:b/>
                <w:color w:val="000000"/>
                <w:sz w:val="12"/>
                <w:szCs w:val="12"/>
                <w:lang w:val="en-US" w:eastAsia="en-US"/>
              </w:rPr>
            </w:pPr>
            <w:r>
              <w:rPr>
                <w:rFonts w:ascii="Arial" w:hAnsi="Arial" w:cs="Arial"/>
                <w:b/>
                <w:color w:val="000000"/>
                <w:sz w:val="12"/>
                <w:szCs w:val="12"/>
                <w:lang w:val="en-US" w:eastAsia="en-US"/>
              </w:rPr>
              <w:t>Company E</w:t>
            </w:r>
          </w:p>
        </w:tc>
        <w:tc>
          <w:tcPr>
            <w:tcW w:w="1426" w:type="dxa"/>
            <w:gridSpan w:val="2"/>
            <w:tcBorders>
              <w:top w:val="double" w:sz="6" w:space="0" w:color="auto"/>
              <w:left w:val="single" w:sz="12" w:space="0" w:color="auto"/>
              <w:bottom w:val="single" w:sz="4" w:space="0" w:color="auto"/>
              <w:right w:val="single" w:sz="12" w:space="0" w:color="auto"/>
            </w:tcBorders>
            <w:vAlign w:val="center"/>
          </w:tcPr>
          <w:p w14:paraId="7DC30BB0" w14:textId="0C6DB61D" w:rsidR="000956EC" w:rsidRPr="000956EC" w:rsidRDefault="00710323" w:rsidP="000956EC">
            <w:pPr>
              <w:overflowPunct/>
              <w:autoSpaceDE/>
              <w:autoSpaceDN/>
              <w:adjustRightInd/>
              <w:spacing w:after="0"/>
              <w:jc w:val="center"/>
              <w:textAlignment w:val="auto"/>
              <w:rPr>
                <w:rFonts w:ascii="Arial" w:hAnsi="Arial" w:cs="Arial"/>
                <w:b/>
                <w:sz w:val="12"/>
                <w:szCs w:val="12"/>
                <w:lang w:val="en-US" w:eastAsia="en-US"/>
              </w:rPr>
            </w:pPr>
            <w:r>
              <w:rPr>
                <w:rFonts w:ascii="Arial" w:hAnsi="Arial" w:cs="Arial"/>
                <w:b/>
                <w:sz w:val="12"/>
                <w:szCs w:val="12"/>
                <w:lang w:val="en-US" w:eastAsia="en-US"/>
              </w:rPr>
              <w:t>Company F</w:t>
            </w:r>
          </w:p>
        </w:tc>
        <w:tc>
          <w:tcPr>
            <w:tcW w:w="1426" w:type="dxa"/>
            <w:gridSpan w:val="2"/>
            <w:tcBorders>
              <w:top w:val="double" w:sz="6" w:space="0" w:color="auto"/>
              <w:left w:val="single" w:sz="12" w:space="0" w:color="auto"/>
              <w:bottom w:val="single" w:sz="4" w:space="0" w:color="auto"/>
            </w:tcBorders>
            <w:vAlign w:val="center"/>
          </w:tcPr>
          <w:p w14:paraId="4394F1CF" w14:textId="66D7013F" w:rsidR="000956EC" w:rsidRPr="000956EC" w:rsidRDefault="00710323" w:rsidP="000956EC">
            <w:pPr>
              <w:overflowPunct/>
              <w:autoSpaceDE/>
              <w:autoSpaceDN/>
              <w:adjustRightInd/>
              <w:spacing w:after="0"/>
              <w:jc w:val="center"/>
              <w:textAlignment w:val="auto"/>
              <w:rPr>
                <w:rFonts w:ascii="Arial" w:hAnsi="Arial" w:cs="Arial"/>
                <w:sz w:val="12"/>
                <w:szCs w:val="12"/>
                <w:lang w:val="en-US" w:eastAsia="en-US"/>
              </w:rPr>
            </w:pPr>
            <w:r>
              <w:rPr>
                <w:rFonts w:ascii="Arial" w:hAnsi="Arial" w:cs="Arial"/>
                <w:b/>
                <w:sz w:val="12"/>
                <w:szCs w:val="12"/>
                <w:lang w:val="en-US" w:eastAsia="en-US"/>
              </w:rPr>
              <w:t>Company G</w:t>
            </w:r>
          </w:p>
        </w:tc>
      </w:tr>
      <w:tr w:rsidR="00710323" w:rsidRPr="000956EC" w14:paraId="5470EE1D" w14:textId="258DB8C8" w:rsidTr="000956EC">
        <w:trPr>
          <w:gridAfter w:val="1"/>
          <w:wAfter w:w="18" w:type="dxa"/>
          <w:trHeight w:val="330"/>
        </w:trPr>
        <w:tc>
          <w:tcPr>
            <w:tcW w:w="1053" w:type="dxa"/>
            <w:tcBorders>
              <w:top w:val="nil"/>
              <w:bottom w:val="single" w:sz="4" w:space="0" w:color="auto"/>
              <w:right w:val="single" w:sz="4" w:space="0" w:color="auto"/>
            </w:tcBorders>
            <w:shd w:val="clear" w:color="auto" w:fill="auto"/>
            <w:vAlign w:val="center"/>
            <w:hideMark/>
          </w:tcPr>
          <w:p w14:paraId="300BAB97"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Frequency range</w:t>
            </w:r>
          </w:p>
        </w:tc>
        <w:tc>
          <w:tcPr>
            <w:tcW w:w="501" w:type="dxa"/>
            <w:tcBorders>
              <w:top w:val="nil"/>
              <w:left w:val="nil"/>
              <w:bottom w:val="single" w:sz="4" w:space="0" w:color="auto"/>
              <w:right w:val="single" w:sz="12" w:space="0" w:color="auto"/>
            </w:tcBorders>
            <w:shd w:val="clear" w:color="auto" w:fill="auto"/>
            <w:vAlign w:val="center"/>
            <w:hideMark/>
          </w:tcPr>
          <w:p w14:paraId="4AC27E32" w14:textId="54B0011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GHz</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227022CD" w14:textId="03CF2C7E"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24.2-29.5</w:t>
            </w:r>
          </w:p>
        </w:tc>
        <w:tc>
          <w:tcPr>
            <w:tcW w:w="631" w:type="dxa"/>
            <w:tcBorders>
              <w:top w:val="nil"/>
              <w:left w:val="nil"/>
              <w:bottom w:val="single" w:sz="4" w:space="0" w:color="auto"/>
              <w:right w:val="single" w:sz="12" w:space="0" w:color="auto"/>
            </w:tcBorders>
            <w:shd w:val="clear" w:color="auto" w:fill="auto"/>
            <w:noWrap/>
            <w:vAlign w:val="center"/>
            <w:hideMark/>
          </w:tcPr>
          <w:p w14:paraId="42F3D5C2" w14:textId="586F89D8"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37-40</w:t>
            </w:r>
          </w:p>
        </w:tc>
        <w:tc>
          <w:tcPr>
            <w:tcW w:w="862" w:type="dxa"/>
            <w:tcBorders>
              <w:top w:val="nil"/>
              <w:left w:val="single" w:sz="12" w:space="0" w:color="auto"/>
              <w:bottom w:val="single" w:sz="4" w:space="0" w:color="auto"/>
              <w:right w:val="single" w:sz="4" w:space="0" w:color="auto"/>
            </w:tcBorders>
            <w:vAlign w:val="center"/>
          </w:tcPr>
          <w:p w14:paraId="28580CC3" w14:textId="370C006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24.2-29.5</w:t>
            </w:r>
          </w:p>
        </w:tc>
        <w:tc>
          <w:tcPr>
            <w:tcW w:w="634" w:type="dxa"/>
            <w:tcBorders>
              <w:top w:val="nil"/>
              <w:left w:val="single" w:sz="4" w:space="0" w:color="auto"/>
              <w:bottom w:val="single" w:sz="4" w:space="0" w:color="auto"/>
              <w:right w:val="single" w:sz="12" w:space="0" w:color="auto"/>
            </w:tcBorders>
            <w:vAlign w:val="center"/>
          </w:tcPr>
          <w:p w14:paraId="512DC694" w14:textId="33CBB4CA"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37-40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1F5C51AA" w14:textId="61BAA871"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24.2-29.5</w:t>
            </w:r>
          </w:p>
        </w:tc>
        <w:tc>
          <w:tcPr>
            <w:tcW w:w="634" w:type="dxa"/>
            <w:tcBorders>
              <w:top w:val="nil"/>
              <w:left w:val="nil"/>
              <w:bottom w:val="single" w:sz="4" w:space="0" w:color="auto"/>
              <w:right w:val="single" w:sz="12" w:space="0" w:color="auto"/>
            </w:tcBorders>
            <w:shd w:val="clear" w:color="auto" w:fill="auto"/>
            <w:noWrap/>
            <w:vAlign w:val="center"/>
            <w:hideMark/>
          </w:tcPr>
          <w:p w14:paraId="33B5A699" w14:textId="4240CCC2"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37-40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5AC50C21" w14:textId="02958C9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24.2-29.5</w:t>
            </w:r>
          </w:p>
        </w:tc>
        <w:tc>
          <w:tcPr>
            <w:tcW w:w="630" w:type="dxa"/>
            <w:tcBorders>
              <w:top w:val="single" w:sz="4" w:space="0" w:color="auto"/>
              <w:left w:val="nil"/>
              <w:bottom w:val="single" w:sz="4" w:space="0" w:color="auto"/>
              <w:right w:val="single" w:sz="12" w:space="0" w:color="auto"/>
            </w:tcBorders>
            <w:shd w:val="clear" w:color="auto" w:fill="auto"/>
            <w:noWrap/>
            <w:vAlign w:val="center"/>
            <w:hideMark/>
          </w:tcPr>
          <w:p w14:paraId="546F31F1" w14:textId="1168D80D"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37 - 40</w:t>
            </w:r>
          </w:p>
        </w:tc>
        <w:tc>
          <w:tcPr>
            <w:tcW w:w="792"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48DBD03A" w14:textId="54AE1E3D"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lang w:val="en-US" w:eastAsia="en-US"/>
              </w:rPr>
              <w:t>24.2-29.5</w:t>
            </w:r>
          </w:p>
        </w:tc>
        <w:tc>
          <w:tcPr>
            <w:tcW w:w="634" w:type="dxa"/>
            <w:tcBorders>
              <w:top w:val="single" w:sz="4" w:space="0" w:color="auto"/>
              <w:left w:val="nil"/>
              <w:bottom w:val="single" w:sz="4" w:space="0" w:color="auto"/>
              <w:right w:val="single" w:sz="12" w:space="0" w:color="auto"/>
            </w:tcBorders>
            <w:shd w:val="clear" w:color="auto" w:fill="auto"/>
            <w:noWrap/>
            <w:vAlign w:val="center"/>
            <w:hideMark/>
          </w:tcPr>
          <w:p w14:paraId="33D02D91" w14:textId="2099A5AD"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lang w:val="en-US" w:eastAsia="en-US"/>
              </w:rPr>
              <w:t>37 - 40</w:t>
            </w:r>
          </w:p>
        </w:tc>
        <w:tc>
          <w:tcPr>
            <w:tcW w:w="792" w:type="dxa"/>
            <w:tcBorders>
              <w:top w:val="single" w:sz="4" w:space="0" w:color="auto"/>
              <w:left w:val="single" w:sz="12" w:space="0" w:color="auto"/>
              <w:bottom w:val="single" w:sz="4" w:space="0" w:color="auto"/>
              <w:right w:val="single" w:sz="4" w:space="0" w:color="auto"/>
            </w:tcBorders>
            <w:vAlign w:val="center"/>
          </w:tcPr>
          <w:p w14:paraId="596CE6AD" w14:textId="55854487" w:rsidR="00710323" w:rsidRPr="000956EC" w:rsidRDefault="00710323" w:rsidP="00710323">
            <w:pPr>
              <w:overflowPunct/>
              <w:autoSpaceDE/>
              <w:autoSpaceDN/>
              <w:adjustRightInd/>
              <w:spacing w:after="0"/>
              <w:jc w:val="right"/>
              <w:textAlignment w:val="auto"/>
              <w:rPr>
                <w:rFonts w:ascii="Arial" w:hAnsi="Arial" w:cs="Arial"/>
                <w:sz w:val="12"/>
                <w:szCs w:val="12"/>
                <w:lang w:val="en-US" w:eastAsia="en-US"/>
              </w:rPr>
            </w:pPr>
            <w:r w:rsidRPr="000956EC">
              <w:rPr>
                <w:rFonts w:ascii="Arial" w:hAnsi="Arial" w:cs="Arial"/>
                <w:sz w:val="12"/>
                <w:szCs w:val="12"/>
                <w:lang w:val="en-US" w:eastAsia="en-US"/>
              </w:rPr>
              <w:t>24.2-29.5</w:t>
            </w:r>
          </w:p>
        </w:tc>
        <w:tc>
          <w:tcPr>
            <w:tcW w:w="634" w:type="dxa"/>
            <w:tcBorders>
              <w:top w:val="single" w:sz="4" w:space="0" w:color="auto"/>
              <w:left w:val="single" w:sz="4" w:space="0" w:color="auto"/>
              <w:bottom w:val="single" w:sz="4" w:space="0" w:color="auto"/>
              <w:right w:val="single" w:sz="12" w:space="0" w:color="auto"/>
            </w:tcBorders>
            <w:vAlign w:val="center"/>
          </w:tcPr>
          <w:p w14:paraId="33589A2D" w14:textId="2491114F" w:rsidR="00710323" w:rsidRPr="000956EC" w:rsidRDefault="00710323" w:rsidP="00710323">
            <w:pPr>
              <w:overflowPunct/>
              <w:autoSpaceDE/>
              <w:autoSpaceDN/>
              <w:adjustRightInd/>
              <w:spacing w:after="0"/>
              <w:jc w:val="right"/>
              <w:textAlignment w:val="auto"/>
              <w:rPr>
                <w:rFonts w:ascii="Arial" w:hAnsi="Arial" w:cs="Arial"/>
                <w:sz w:val="12"/>
                <w:szCs w:val="12"/>
                <w:lang w:val="en-US" w:eastAsia="en-US"/>
              </w:rPr>
            </w:pPr>
            <w:r w:rsidRPr="000956EC">
              <w:rPr>
                <w:rFonts w:ascii="Arial" w:hAnsi="Arial" w:cs="Arial"/>
                <w:sz w:val="12"/>
                <w:szCs w:val="12"/>
                <w:lang w:val="en-US" w:eastAsia="en-US"/>
              </w:rPr>
              <w:t>37 - 40</w:t>
            </w:r>
          </w:p>
        </w:tc>
        <w:tc>
          <w:tcPr>
            <w:tcW w:w="792" w:type="dxa"/>
            <w:tcBorders>
              <w:top w:val="single" w:sz="4" w:space="0" w:color="auto"/>
              <w:left w:val="single" w:sz="12" w:space="0" w:color="auto"/>
              <w:bottom w:val="single" w:sz="4" w:space="0" w:color="auto"/>
              <w:right w:val="single" w:sz="4" w:space="0" w:color="auto"/>
            </w:tcBorders>
            <w:vAlign w:val="center"/>
          </w:tcPr>
          <w:p w14:paraId="635EC17E" w14:textId="74BD58DC" w:rsidR="00710323" w:rsidRPr="000956EC" w:rsidRDefault="00710323" w:rsidP="00710323">
            <w:pPr>
              <w:overflowPunct/>
              <w:autoSpaceDE/>
              <w:autoSpaceDN/>
              <w:adjustRightInd/>
              <w:spacing w:after="0"/>
              <w:jc w:val="center"/>
              <w:textAlignment w:val="auto"/>
              <w:rPr>
                <w:rFonts w:ascii="Arial" w:hAnsi="Arial" w:cs="Arial"/>
                <w:sz w:val="12"/>
                <w:szCs w:val="12"/>
                <w:lang w:val="en-US" w:eastAsia="en-US"/>
              </w:rPr>
            </w:pPr>
            <w:r w:rsidRPr="000956EC">
              <w:rPr>
                <w:rFonts w:ascii="Arial" w:hAnsi="Arial" w:cs="Arial"/>
                <w:color w:val="000000"/>
                <w:sz w:val="12"/>
                <w:szCs w:val="12"/>
                <w:lang w:val="en-US" w:eastAsia="en-US"/>
              </w:rPr>
              <w:t>24.2-29.5</w:t>
            </w:r>
          </w:p>
        </w:tc>
        <w:tc>
          <w:tcPr>
            <w:tcW w:w="634" w:type="dxa"/>
            <w:tcBorders>
              <w:top w:val="single" w:sz="4" w:space="0" w:color="auto"/>
              <w:left w:val="single" w:sz="4" w:space="0" w:color="auto"/>
              <w:bottom w:val="single" w:sz="4" w:space="0" w:color="auto"/>
            </w:tcBorders>
            <w:vAlign w:val="center"/>
          </w:tcPr>
          <w:p w14:paraId="48F69C42" w14:textId="66527333" w:rsidR="00710323" w:rsidRPr="000956EC" w:rsidRDefault="00710323" w:rsidP="00710323">
            <w:pPr>
              <w:overflowPunct/>
              <w:autoSpaceDE/>
              <w:autoSpaceDN/>
              <w:adjustRightInd/>
              <w:spacing w:after="0"/>
              <w:jc w:val="center"/>
              <w:textAlignment w:val="auto"/>
              <w:rPr>
                <w:rFonts w:ascii="Arial" w:hAnsi="Arial" w:cs="Arial"/>
                <w:sz w:val="12"/>
                <w:szCs w:val="12"/>
                <w:lang w:val="en-US" w:eastAsia="en-US"/>
              </w:rPr>
            </w:pPr>
            <w:r w:rsidRPr="000956EC">
              <w:rPr>
                <w:rFonts w:ascii="Arial" w:hAnsi="Arial" w:cs="Arial"/>
                <w:color w:val="000000"/>
                <w:sz w:val="12"/>
                <w:szCs w:val="12"/>
                <w:lang w:val="en-US" w:eastAsia="en-US"/>
              </w:rPr>
              <w:t>37-40</w:t>
            </w:r>
          </w:p>
        </w:tc>
      </w:tr>
      <w:tr w:rsidR="00710323" w:rsidRPr="000956EC" w14:paraId="13E6886B" w14:textId="37D57462" w:rsidTr="000956EC">
        <w:trPr>
          <w:gridAfter w:val="1"/>
          <w:wAfter w:w="18" w:type="dxa"/>
          <w:trHeight w:val="330"/>
        </w:trPr>
        <w:tc>
          <w:tcPr>
            <w:tcW w:w="1053" w:type="dxa"/>
            <w:tcBorders>
              <w:top w:val="nil"/>
              <w:bottom w:val="single" w:sz="4" w:space="0" w:color="auto"/>
              <w:right w:val="single" w:sz="4" w:space="0" w:color="auto"/>
            </w:tcBorders>
            <w:shd w:val="clear" w:color="auto" w:fill="auto"/>
            <w:vAlign w:val="center"/>
            <w:hideMark/>
          </w:tcPr>
          <w:p w14:paraId="5A381B40" w14:textId="5CA4401B"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 ant elements</w:t>
            </w:r>
          </w:p>
        </w:tc>
        <w:tc>
          <w:tcPr>
            <w:tcW w:w="501" w:type="dxa"/>
            <w:tcBorders>
              <w:top w:val="nil"/>
              <w:left w:val="nil"/>
              <w:bottom w:val="single" w:sz="4" w:space="0" w:color="auto"/>
              <w:right w:val="single" w:sz="12" w:space="0" w:color="auto"/>
            </w:tcBorders>
            <w:shd w:val="clear" w:color="auto" w:fill="auto"/>
            <w:vAlign w:val="center"/>
            <w:hideMark/>
          </w:tcPr>
          <w:p w14:paraId="357A3D05"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 </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2D83A955" w14:textId="7777777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4</w:t>
            </w:r>
          </w:p>
        </w:tc>
        <w:tc>
          <w:tcPr>
            <w:tcW w:w="631" w:type="dxa"/>
            <w:tcBorders>
              <w:top w:val="nil"/>
              <w:left w:val="nil"/>
              <w:bottom w:val="single" w:sz="4" w:space="0" w:color="auto"/>
              <w:right w:val="single" w:sz="12" w:space="0" w:color="auto"/>
            </w:tcBorders>
            <w:shd w:val="clear" w:color="auto" w:fill="auto"/>
            <w:noWrap/>
            <w:vAlign w:val="center"/>
            <w:hideMark/>
          </w:tcPr>
          <w:p w14:paraId="2F03E46B" w14:textId="7777777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4</w:t>
            </w:r>
          </w:p>
        </w:tc>
        <w:tc>
          <w:tcPr>
            <w:tcW w:w="862" w:type="dxa"/>
            <w:tcBorders>
              <w:top w:val="single" w:sz="4" w:space="0" w:color="auto"/>
              <w:left w:val="single" w:sz="12" w:space="0" w:color="auto"/>
              <w:bottom w:val="single" w:sz="4" w:space="0" w:color="auto"/>
              <w:right w:val="single" w:sz="4" w:space="0" w:color="auto"/>
            </w:tcBorders>
            <w:vAlign w:val="center"/>
          </w:tcPr>
          <w:p w14:paraId="2B704B7F" w14:textId="3A61DC90"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4</w:t>
            </w:r>
          </w:p>
        </w:tc>
        <w:tc>
          <w:tcPr>
            <w:tcW w:w="634" w:type="dxa"/>
            <w:tcBorders>
              <w:top w:val="single" w:sz="4" w:space="0" w:color="auto"/>
              <w:left w:val="single" w:sz="4" w:space="0" w:color="auto"/>
              <w:bottom w:val="single" w:sz="4" w:space="0" w:color="auto"/>
              <w:right w:val="single" w:sz="12" w:space="0" w:color="auto"/>
            </w:tcBorders>
            <w:vAlign w:val="center"/>
          </w:tcPr>
          <w:p w14:paraId="6BE94E45" w14:textId="4AF41551"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4 </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35E9BBC" w14:textId="4302CFA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w:t>
            </w:r>
          </w:p>
        </w:tc>
        <w:tc>
          <w:tcPr>
            <w:tcW w:w="634" w:type="dxa"/>
            <w:tcBorders>
              <w:top w:val="nil"/>
              <w:left w:val="nil"/>
              <w:bottom w:val="single" w:sz="4" w:space="0" w:color="auto"/>
              <w:right w:val="single" w:sz="12" w:space="0" w:color="auto"/>
            </w:tcBorders>
            <w:shd w:val="clear" w:color="auto" w:fill="auto"/>
            <w:noWrap/>
            <w:vAlign w:val="center"/>
            <w:hideMark/>
          </w:tcPr>
          <w:p w14:paraId="1F896459" w14:textId="315C4245"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74DB7721" w14:textId="5664413E"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w:t>
            </w:r>
          </w:p>
        </w:tc>
        <w:tc>
          <w:tcPr>
            <w:tcW w:w="630" w:type="dxa"/>
            <w:tcBorders>
              <w:top w:val="nil"/>
              <w:left w:val="nil"/>
              <w:bottom w:val="single" w:sz="4" w:space="0" w:color="auto"/>
              <w:right w:val="single" w:sz="12" w:space="0" w:color="auto"/>
            </w:tcBorders>
            <w:shd w:val="clear" w:color="auto" w:fill="auto"/>
            <w:noWrap/>
            <w:vAlign w:val="center"/>
            <w:hideMark/>
          </w:tcPr>
          <w:p w14:paraId="22763429" w14:textId="143A5290"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2BBBD672" w14:textId="5643AF99"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4</w:t>
            </w:r>
          </w:p>
        </w:tc>
        <w:tc>
          <w:tcPr>
            <w:tcW w:w="634" w:type="dxa"/>
            <w:tcBorders>
              <w:top w:val="nil"/>
              <w:left w:val="nil"/>
              <w:bottom w:val="single" w:sz="4" w:space="0" w:color="auto"/>
              <w:right w:val="single" w:sz="12" w:space="0" w:color="auto"/>
            </w:tcBorders>
            <w:shd w:val="clear" w:color="auto" w:fill="auto"/>
            <w:noWrap/>
            <w:vAlign w:val="center"/>
            <w:hideMark/>
          </w:tcPr>
          <w:p w14:paraId="601EAD2D" w14:textId="0EA10902"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4</w:t>
            </w:r>
          </w:p>
        </w:tc>
        <w:tc>
          <w:tcPr>
            <w:tcW w:w="792" w:type="dxa"/>
            <w:tcBorders>
              <w:top w:val="single" w:sz="4" w:space="0" w:color="auto"/>
              <w:left w:val="single" w:sz="12" w:space="0" w:color="auto"/>
              <w:bottom w:val="single" w:sz="4" w:space="0" w:color="auto"/>
              <w:right w:val="single" w:sz="4" w:space="0" w:color="auto"/>
            </w:tcBorders>
            <w:vAlign w:val="center"/>
          </w:tcPr>
          <w:p w14:paraId="7284D7DD" w14:textId="19796228"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4</w:t>
            </w:r>
          </w:p>
        </w:tc>
        <w:tc>
          <w:tcPr>
            <w:tcW w:w="634" w:type="dxa"/>
            <w:tcBorders>
              <w:top w:val="single" w:sz="4" w:space="0" w:color="auto"/>
              <w:left w:val="single" w:sz="4" w:space="0" w:color="auto"/>
              <w:bottom w:val="single" w:sz="4" w:space="0" w:color="auto"/>
              <w:right w:val="single" w:sz="12" w:space="0" w:color="auto"/>
            </w:tcBorders>
            <w:vAlign w:val="center"/>
          </w:tcPr>
          <w:p w14:paraId="770E4740" w14:textId="7330B74B"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4</w:t>
            </w:r>
          </w:p>
        </w:tc>
        <w:tc>
          <w:tcPr>
            <w:tcW w:w="792" w:type="dxa"/>
            <w:tcBorders>
              <w:top w:val="single" w:sz="4" w:space="0" w:color="auto"/>
              <w:left w:val="single" w:sz="12" w:space="0" w:color="auto"/>
              <w:bottom w:val="single" w:sz="4" w:space="0" w:color="auto"/>
              <w:right w:val="single" w:sz="4" w:space="0" w:color="auto"/>
            </w:tcBorders>
            <w:vAlign w:val="center"/>
          </w:tcPr>
          <w:p w14:paraId="5D9837CF" w14:textId="00F7C0E6"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4</w:t>
            </w:r>
          </w:p>
        </w:tc>
        <w:tc>
          <w:tcPr>
            <w:tcW w:w="634" w:type="dxa"/>
            <w:tcBorders>
              <w:top w:val="single" w:sz="4" w:space="0" w:color="auto"/>
              <w:left w:val="single" w:sz="4" w:space="0" w:color="auto"/>
              <w:bottom w:val="single" w:sz="4" w:space="0" w:color="auto"/>
            </w:tcBorders>
            <w:vAlign w:val="center"/>
          </w:tcPr>
          <w:p w14:paraId="12DE965E" w14:textId="6781FBF2"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4</w:t>
            </w:r>
          </w:p>
        </w:tc>
      </w:tr>
      <w:tr w:rsidR="00710323" w:rsidRPr="000956EC" w14:paraId="6163580C" w14:textId="003B418F" w:rsidTr="000956EC">
        <w:trPr>
          <w:gridAfter w:val="1"/>
          <w:wAfter w:w="18" w:type="dxa"/>
          <w:trHeight w:val="660"/>
        </w:trPr>
        <w:tc>
          <w:tcPr>
            <w:tcW w:w="1053" w:type="dxa"/>
            <w:tcBorders>
              <w:top w:val="nil"/>
              <w:bottom w:val="single" w:sz="4" w:space="0" w:color="auto"/>
              <w:right w:val="single" w:sz="4" w:space="0" w:color="auto"/>
            </w:tcBorders>
            <w:shd w:val="clear" w:color="auto" w:fill="auto"/>
            <w:vAlign w:val="center"/>
            <w:hideMark/>
          </w:tcPr>
          <w:p w14:paraId="0E0C2806" w14:textId="66915B8C"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Avg. element gain</w:t>
            </w:r>
            <w:r w:rsidRPr="000956EC">
              <w:rPr>
                <w:rFonts w:ascii="Arial" w:hAnsi="Arial" w:cs="Arial"/>
                <w:color w:val="000000"/>
                <w:sz w:val="12"/>
                <w:szCs w:val="14"/>
                <w:lang w:val="en-US" w:eastAsia="en-US"/>
              </w:rPr>
              <w:br/>
              <w:t>(per polarization)</w:t>
            </w:r>
          </w:p>
        </w:tc>
        <w:tc>
          <w:tcPr>
            <w:tcW w:w="501" w:type="dxa"/>
            <w:tcBorders>
              <w:top w:val="nil"/>
              <w:left w:val="nil"/>
              <w:bottom w:val="single" w:sz="4" w:space="0" w:color="auto"/>
              <w:right w:val="single" w:sz="12" w:space="0" w:color="auto"/>
            </w:tcBorders>
            <w:shd w:val="clear" w:color="auto" w:fill="auto"/>
            <w:vAlign w:val="center"/>
            <w:hideMark/>
          </w:tcPr>
          <w:p w14:paraId="036815AC"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dBi</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4B141065" w14:textId="7412345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4.00</w:t>
            </w:r>
          </w:p>
        </w:tc>
        <w:tc>
          <w:tcPr>
            <w:tcW w:w="631" w:type="dxa"/>
            <w:tcBorders>
              <w:top w:val="nil"/>
              <w:left w:val="nil"/>
              <w:bottom w:val="single" w:sz="4" w:space="0" w:color="auto"/>
              <w:right w:val="single" w:sz="12" w:space="0" w:color="auto"/>
            </w:tcBorders>
            <w:shd w:val="clear" w:color="auto" w:fill="auto"/>
            <w:noWrap/>
            <w:vAlign w:val="center"/>
            <w:hideMark/>
          </w:tcPr>
          <w:p w14:paraId="5BC5D346" w14:textId="7AF070A4"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4.00</w:t>
            </w:r>
          </w:p>
        </w:tc>
        <w:tc>
          <w:tcPr>
            <w:tcW w:w="862" w:type="dxa"/>
            <w:tcBorders>
              <w:top w:val="single" w:sz="4" w:space="0" w:color="auto"/>
              <w:left w:val="single" w:sz="12" w:space="0" w:color="auto"/>
              <w:bottom w:val="single" w:sz="4" w:space="0" w:color="auto"/>
              <w:right w:val="single" w:sz="4" w:space="0" w:color="auto"/>
            </w:tcBorders>
            <w:vAlign w:val="center"/>
          </w:tcPr>
          <w:p w14:paraId="7BC52690" w14:textId="61BBBE6A"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5.00</w:t>
            </w:r>
          </w:p>
        </w:tc>
        <w:tc>
          <w:tcPr>
            <w:tcW w:w="634" w:type="dxa"/>
            <w:tcBorders>
              <w:top w:val="single" w:sz="4" w:space="0" w:color="auto"/>
              <w:left w:val="single" w:sz="4" w:space="0" w:color="auto"/>
              <w:bottom w:val="single" w:sz="4" w:space="0" w:color="auto"/>
              <w:right w:val="single" w:sz="12" w:space="0" w:color="auto"/>
            </w:tcBorders>
            <w:vAlign w:val="center"/>
          </w:tcPr>
          <w:p w14:paraId="149BFDAD" w14:textId="563F928A"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4.0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F470370" w14:textId="00645244"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4.50</w:t>
            </w:r>
          </w:p>
        </w:tc>
        <w:tc>
          <w:tcPr>
            <w:tcW w:w="634" w:type="dxa"/>
            <w:tcBorders>
              <w:top w:val="nil"/>
              <w:left w:val="nil"/>
              <w:bottom w:val="single" w:sz="4" w:space="0" w:color="auto"/>
              <w:right w:val="single" w:sz="12" w:space="0" w:color="auto"/>
            </w:tcBorders>
            <w:shd w:val="clear" w:color="auto" w:fill="auto"/>
            <w:noWrap/>
            <w:vAlign w:val="center"/>
            <w:hideMark/>
          </w:tcPr>
          <w:p w14:paraId="725BC5D0" w14:textId="670C1B0D"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5C0AC81" w14:textId="2C187D13"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4.0</w:t>
            </w:r>
          </w:p>
        </w:tc>
        <w:tc>
          <w:tcPr>
            <w:tcW w:w="630" w:type="dxa"/>
            <w:tcBorders>
              <w:top w:val="nil"/>
              <w:left w:val="nil"/>
              <w:bottom w:val="single" w:sz="4" w:space="0" w:color="auto"/>
              <w:right w:val="single" w:sz="12" w:space="0" w:color="auto"/>
            </w:tcBorders>
            <w:shd w:val="clear" w:color="auto" w:fill="auto"/>
            <w:noWrap/>
            <w:vAlign w:val="center"/>
            <w:hideMark/>
          </w:tcPr>
          <w:p w14:paraId="0BA6B918" w14:textId="36204F7F"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1617743C" w14:textId="74F6A125"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4.50</w:t>
            </w:r>
          </w:p>
        </w:tc>
        <w:tc>
          <w:tcPr>
            <w:tcW w:w="634" w:type="dxa"/>
            <w:tcBorders>
              <w:top w:val="nil"/>
              <w:left w:val="nil"/>
              <w:bottom w:val="single" w:sz="4" w:space="0" w:color="auto"/>
              <w:right w:val="single" w:sz="12" w:space="0" w:color="auto"/>
            </w:tcBorders>
            <w:shd w:val="clear" w:color="auto" w:fill="auto"/>
            <w:noWrap/>
            <w:vAlign w:val="center"/>
            <w:hideMark/>
          </w:tcPr>
          <w:p w14:paraId="1CD2E336" w14:textId="39284928"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4.50</w:t>
            </w:r>
          </w:p>
        </w:tc>
        <w:tc>
          <w:tcPr>
            <w:tcW w:w="792" w:type="dxa"/>
            <w:tcBorders>
              <w:top w:val="single" w:sz="4" w:space="0" w:color="auto"/>
              <w:left w:val="single" w:sz="12" w:space="0" w:color="auto"/>
              <w:bottom w:val="single" w:sz="4" w:space="0" w:color="auto"/>
              <w:right w:val="single" w:sz="4" w:space="0" w:color="auto"/>
            </w:tcBorders>
            <w:vAlign w:val="center"/>
          </w:tcPr>
          <w:p w14:paraId="353A71C0" w14:textId="79F0CC94"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2.50</w:t>
            </w:r>
          </w:p>
        </w:tc>
        <w:tc>
          <w:tcPr>
            <w:tcW w:w="634" w:type="dxa"/>
            <w:tcBorders>
              <w:top w:val="single" w:sz="4" w:space="0" w:color="auto"/>
              <w:left w:val="single" w:sz="4" w:space="0" w:color="auto"/>
              <w:bottom w:val="single" w:sz="4" w:space="0" w:color="auto"/>
              <w:right w:val="single" w:sz="12" w:space="0" w:color="auto"/>
            </w:tcBorders>
            <w:vAlign w:val="center"/>
          </w:tcPr>
          <w:p w14:paraId="469DB915" w14:textId="66177A80"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1.50</w:t>
            </w:r>
          </w:p>
        </w:tc>
        <w:tc>
          <w:tcPr>
            <w:tcW w:w="792" w:type="dxa"/>
            <w:tcBorders>
              <w:top w:val="single" w:sz="4" w:space="0" w:color="auto"/>
              <w:left w:val="single" w:sz="12" w:space="0" w:color="auto"/>
              <w:bottom w:val="single" w:sz="4" w:space="0" w:color="auto"/>
              <w:right w:val="single" w:sz="4" w:space="0" w:color="auto"/>
            </w:tcBorders>
            <w:vAlign w:val="center"/>
          </w:tcPr>
          <w:p w14:paraId="4C0E8205" w14:textId="4C215AEF"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4.00</w:t>
            </w:r>
          </w:p>
        </w:tc>
        <w:tc>
          <w:tcPr>
            <w:tcW w:w="634" w:type="dxa"/>
            <w:tcBorders>
              <w:top w:val="single" w:sz="4" w:space="0" w:color="auto"/>
              <w:left w:val="single" w:sz="4" w:space="0" w:color="auto"/>
              <w:bottom w:val="single" w:sz="4" w:space="0" w:color="auto"/>
            </w:tcBorders>
            <w:vAlign w:val="center"/>
          </w:tcPr>
          <w:p w14:paraId="7C4EC145" w14:textId="3F6FD161"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4.00</w:t>
            </w:r>
          </w:p>
        </w:tc>
      </w:tr>
      <w:tr w:rsidR="00710323" w:rsidRPr="000956EC" w14:paraId="0AE0FAEF" w14:textId="7459685B" w:rsidTr="000956EC">
        <w:trPr>
          <w:gridAfter w:val="1"/>
          <w:wAfter w:w="18" w:type="dxa"/>
          <w:trHeight w:val="660"/>
        </w:trPr>
        <w:tc>
          <w:tcPr>
            <w:tcW w:w="1053" w:type="dxa"/>
            <w:tcBorders>
              <w:top w:val="nil"/>
              <w:bottom w:val="single" w:sz="4" w:space="0" w:color="auto"/>
              <w:right w:val="single" w:sz="4" w:space="0" w:color="auto"/>
            </w:tcBorders>
            <w:shd w:val="clear" w:color="auto" w:fill="auto"/>
            <w:vAlign w:val="center"/>
            <w:hideMark/>
          </w:tcPr>
          <w:p w14:paraId="3B359E80" w14:textId="7171EF9C"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Antenna roll-off</w:t>
            </w:r>
            <w:r w:rsidRPr="000956EC">
              <w:rPr>
                <w:rFonts w:ascii="Arial" w:hAnsi="Arial" w:cs="Arial"/>
                <w:color w:val="000000"/>
                <w:sz w:val="12"/>
                <w:szCs w:val="14"/>
                <w:lang w:val="en-US" w:eastAsia="en-US"/>
              </w:rPr>
              <w:br/>
              <w:t>loss vs frequency</w:t>
            </w:r>
          </w:p>
        </w:tc>
        <w:tc>
          <w:tcPr>
            <w:tcW w:w="501" w:type="dxa"/>
            <w:tcBorders>
              <w:top w:val="nil"/>
              <w:left w:val="nil"/>
              <w:bottom w:val="single" w:sz="4" w:space="0" w:color="auto"/>
              <w:right w:val="single" w:sz="12" w:space="0" w:color="auto"/>
            </w:tcBorders>
            <w:shd w:val="clear" w:color="auto" w:fill="auto"/>
            <w:vAlign w:val="center"/>
            <w:hideMark/>
          </w:tcPr>
          <w:p w14:paraId="130E5BAF"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28E0117B" w14:textId="2770315B"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-2.00</w:t>
            </w:r>
          </w:p>
        </w:tc>
        <w:tc>
          <w:tcPr>
            <w:tcW w:w="631" w:type="dxa"/>
            <w:tcBorders>
              <w:top w:val="nil"/>
              <w:left w:val="nil"/>
              <w:bottom w:val="single" w:sz="4" w:space="0" w:color="auto"/>
              <w:right w:val="single" w:sz="12" w:space="0" w:color="auto"/>
            </w:tcBorders>
            <w:shd w:val="clear" w:color="auto" w:fill="auto"/>
            <w:noWrap/>
            <w:vAlign w:val="center"/>
            <w:hideMark/>
          </w:tcPr>
          <w:p w14:paraId="370B6B68" w14:textId="372A2B6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-2.50</w:t>
            </w:r>
          </w:p>
        </w:tc>
        <w:tc>
          <w:tcPr>
            <w:tcW w:w="862" w:type="dxa"/>
            <w:tcBorders>
              <w:top w:val="single" w:sz="4" w:space="0" w:color="auto"/>
              <w:left w:val="single" w:sz="12" w:space="0" w:color="auto"/>
              <w:bottom w:val="single" w:sz="4" w:space="0" w:color="auto"/>
              <w:right w:val="single" w:sz="4" w:space="0" w:color="auto"/>
            </w:tcBorders>
            <w:vAlign w:val="center"/>
          </w:tcPr>
          <w:p w14:paraId="708D4BDE" w14:textId="085F69A1"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-1.00</w:t>
            </w:r>
          </w:p>
        </w:tc>
        <w:tc>
          <w:tcPr>
            <w:tcW w:w="634" w:type="dxa"/>
            <w:tcBorders>
              <w:top w:val="single" w:sz="4" w:space="0" w:color="auto"/>
              <w:left w:val="single" w:sz="4" w:space="0" w:color="auto"/>
              <w:bottom w:val="single" w:sz="4" w:space="0" w:color="auto"/>
              <w:right w:val="single" w:sz="12" w:space="0" w:color="auto"/>
            </w:tcBorders>
            <w:vAlign w:val="center"/>
          </w:tcPr>
          <w:p w14:paraId="535CD632" w14:textId="48617844"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-1.50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C2458CF" w14:textId="24CC74D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-3.00</w:t>
            </w:r>
          </w:p>
        </w:tc>
        <w:tc>
          <w:tcPr>
            <w:tcW w:w="634" w:type="dxa"/>
            <w:tcBorders>
              <w:top w:val="nil"/>
              <w:left w:val="nil"/>
              <w:bottom w:val="single" w:sz="4" w:space="0" w:color="auto"/>
              <w:right w:val="single" w:sz="12" w:space="0" w:color="auto"/>
            </w:tcBorders>
            <w:shd w:val="clear" w:color="auto" w:fill="auto"/>
            <w:noWrap/>
            <w:vAlign w:val="center"/>
            <w:hideMark/>
          </w:tcPr>
          <w:p w14:paraId="296FE9D9" w14:textId="0B9229FD"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56AEBD8" w14:textId="7A00E1F5"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-1.00</w:t>
            </w:r>
          </w:p>
        </w:tc>
        <w:tc>
          <w:tcPr>
            <w:tcW w:w="630" w:type="dxa"/>
            <w:tcBorders>
              <w:top w:val="nil"/>
              <w:left w:val="nil"/>
              <w:bottom w:val="single" w:sz="4" w:space="0" w:color="auto"/>
              <w:right w:val="single" w:sz="12" w:space="0" w:color="auto"/>
            </w:tcBorders>
            <w:shd w:val="clear" w:color="auto" w:fill="auto"/>
            <w:noWrap/>
            <w:vAlign w:val="center"/>
            <w:hideMark/>
          </w:tcPr>
          <w:p w14:paraId="31E69848" w14:textId="2C1372E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-1.00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766CE1B0" w14:textId="528CB70E"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-1.00</w:t>
            </w:r>
          </w:p>
        </w:tc>
        <w:tc>
          <w:tcPr>
            <w:tcW w:w="634" w:type="dxa"/>
            <w:tcBorders>
              <w:top w:val="nil"/>
              <w:left w:val="nil"/>
              <w:bottom w:val="single" w:sz="4" w:space="0" w:color="auto"/>
              <w:right w:val="single" w:sz="12" w:space="0" w:color="auto"/>
            </w:tcBorders>
            <w:shd w:val="clear" w:color="auto" w:fill="auto"/>
            <w:noWrap/>
            <w:vAlign w:val="center"/>
            <w:hideMark/>
          </w:tcPr>
          <w:p w14:paraId="4A1B0D7B" w14:textId="637196A8"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-1.50</w:t>
            </w:r>
          </w:p>
        </w:tc>
        <w:tc>
          <w:tcPr>
            <w:tcW w:w="792" w:type="dxa"/>
            <w:tcBorders>
              <w:top w:val="single" w:sz="4" w:space="0" w:color="auto"/>
              <w:left w:val="single" w:sz="12" w:space="0" w:color="auto"/>
              <w:bottom w:val="single" w:sz="4" w:space="0" w:color="auto"/>
              <w:right w:val="single" w:sz="4" w:space="0" w:color="auto"/>
            </w:tcBorders>
            <w:vAlign w:val="center"/>
          </w:tcPr>
          <w:p w14:paraId="6477022F" w14:textId="3C871518"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-0.50</w:t>
            </w:r>
          </w:p>
        </w:tc>
        <w:tc>
          <w:tcPr>
            <w:tcW w:w="634" w:type="dxa"/>
            <w:tcBorders>
              <w:top w:val="single" w:sz="4" w:space="0" w:color="auto"/>
              <w:left w:val="single" w:sz="4" w:space="0" w:color="auto"/>
              <w:bottom w:val="single" w:sz="4" w:space="0" w:color="auto"/>
              <w:right w:val="single" w:sz="12" w:space="0" w:color="auto"/>
            </w:tcBorders>
            <w:vAlign w:val="center"/>
          </w:tcPr>
          <w:p w14:paraId="3A7E6DE7" w14:textId="4C058D37"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-0.50</w:t>
            </w:r>
          </w:p>
        </w:tc>
        <w:tc>
          <w:tcPr>
            <w:tcW w:w="792" w:type="dxa"/>
            <w:tcBorders>
              <w:top w:val="single" w:sz="4" w:space="0" w:color="auto"/>
              <w:left w:val="single" w:sz="12" w:space="0" w:color="auto"/>
              <w:bottom w:val="single" w:sz="4" w:space="0" w:color="auto"/>
              <w:right w:val="single" w:sz="4" w:space="0" w:color="auto"/>
            </w:tcBorders>
            <w:vAlign w:val="center"/>
          </w:tcPr>
          <w:p w14:paraId="65FA446A" w14:textId="5EE7DD82" w:rsidR="00710323" w:rsidRPr="000956EC" w:rsidRDefault="00710323" w:rsidP="00DD1AC9">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1</w:t>
            </w:r>
            <w:r w:rsidRPr="000956EC">
              <w:rPr>
                <w:rFonts w:ascii="Arial" w:hAnsi="Arial" w:cs="Arial"/>
                <w:color w:val="000000"/>
                <w:sz w:val="12"/>
                <w:szCs w:val="12"/>
                <w:lang w:val="en-US" w:eastAsia="en-US"/>
              </w:rPr>
              <w:t>.00</w:t>
            </w:r>
          </w:p>
        </w:tc>
        <w:tc>
          <w:tcPr>
            <w:tcW w:w="634" w:type="dxa"/>
            <w:tcBorders>
              <w:top w:val="single" w:sz="4" w:space="0" w:color="auto"/>
              <w:left w:val="single" w:sz="4" w:space="0" w:color="auto"/>
              <w:bottom w:val="single" w:sz="4" w:space="0" w:color="auto"/>
            </w:tcBorders>
            <w:vAlign w:val="center"/>
          </w:tcPr>
          <w:p w14:paraId="25054FB0" w14:textId="4DF272B6" w:rsidR="00710323" w:rsidRPr="000956EC" w:rsidRDefault="00710323" w:rsidP="00DD1AC9">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1</w:t>
            </w:r>
            <w:r w:rsidRPr="000956EC">
              <w:rPr>
                <w:rFonts w:ascii="Arial" w:hAnsi="Arial" w:cs="Arial"/>
                <w:color w:val="000000"/>
                <w:sz w:val="12"/>
                <w:szCs w:val="12"/>
                <w:lang w:val="en-US" w:eastAsia="en-US"/>
              </w:rPr>
              <w:t>.50</w:t>
            </w:r>
          </w:p>
        </w:tc>
      </w:tr>
      <w:tr w:rsidR="00710323" w:rsidRPr="000956EC" w14:paraId="54638F98" w14:textId="57CEEAAD" w:rsidTr="000956EC">
        <w:trPr>
          <w:gridAfter w:val="1"/>
          <w:wAfter w:w="18" w:type="dxa"/>
          <w:trHeight w:val="660"/>
        </w:trPr>
        <w:tc>
          <w:tcPr>
            <w:tcW w:w="1053" w:type="dxa"/>
            <w:tcBorders>
              <w:top w:val="nil"/>
              <w:bottom w:val="single" w:sz="4" w:space="0" w:color="auto"/>
              <w:right w:val="single" w:sz="4" w:space="0" w:color="auto"/>
            </w:tcBorders>
            <w:shd w:val="clear" w:color="auto" w:fill="auto"/>
            <w:vAlign w:val="center"/>
            <w:hideMark/>
          </w:tcPr>
          <w:p w14:paraId="74074EBB"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Realized antenna</w:t>
            </w:r>
            <w:r w:rsidRPr="000956EC">
              <w:rPr>
                <w:rFonts w:ascii="Arial" w:hAnsi="Arial" w:cs="Arial"/>
                <w:color w:val="000000"/>
                <w:sz w:val="12"/>
                <w:szCs w:val="14"/>
                <w:lang w:val="en-US" w:eastAsia="en-US"/>
              </w:rPr>
              <w:br/>
              <w:t>array gain</w:t>
            </w:r>
          </w:p>
        </w:tc>
        <w:tc>
          <w:tcPr>
            <w:tcW w:w="501" w:type="dxa"/>
            <w:tcBorders>
              <w:top w:val="nil"/>
              <w:left w:val="nil"/>
              <w:bottom w:val="single" w:sz="4" w:space="0" w:color="auto"/>
              <w:right w:val="single" w:sz="12" w:space="0" w:color="auto"/>
            </w:tcBorders>
            <w:shd w:val="clear" w:color="auto" w:fill="auto"/>
            <w:vAlign w:val="center"/>
            <w:hideMark/>
          </w:tcPr>
          <w:p w14:paraId="576446B5"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dBi</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3CF96173" w14:textId="27262D30"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8.00</w:t>
            </w:r>
          </w:p>
        </w:tc>
        <w:tc>
          <w:tcPr>
            <w:tcW w:w="631" w:type="dxa"/>
            <w:tcBorders>
              <w:top w:val="nil"/>
              <w:left w:val="nil"/>
              <w:bottom w:val="single" w:sz="4" w:space="0" w:color="auto"/>
              <w:right w:val="single" w:sz="12" w:space="0" w:color="auto"/>
            </w:tcBorders>
            <w:shd w:val="clear" w:color="auto" w:fill="auto"/>
            <w:noWrap/>
            <w:vAlign w:val="center"/>
            <w:hideMark/>
          </w:tcPr>
          <w:p w14:paraId="461C4E7F" w14:textId="64C1A830"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7.50</w:t>
            </w:r>
          </w:p>
        </w:tc>
        <w:tc>
          <w:tcPr>
            <w:tcW w:w="862" w:type="dxa"/>
            <w:tcBorders>
              <w:top w:val="single" w:sz="4" w:space="0" w:color="auto"/>
              <w:left w:val="single" w:sz="12" w:space="0" w:color="auto"/>
              <w:bottom w:val="single" w:sz="4" w:space="0" w:color="auto"/>
              <w:right w:val="single" w:sz="4" w:space="0" w:color="auto"/>
            </w:tcBorders>
            <w:vAlign w:val="center"/>
          </w:tcPr>
          <w:p w14:paraId="407F6519" w14:textId="302CBF65"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10.00</w:t>
            </w:r>
          </w:p>
        </w:tc>
        <w:tc>
          <w:tcPr>
            <w:tcW w:w="634" w:type="dxa"/>
            <w:tcBorders>
              <w:top w:val="single" w:sz="4" w:space="0" w:color="auto"/>
              <w:left w:val="single" w:sz="4" w:space="0" w:color="auto"/>
              <w:bottom w:val="single" w:sz="4" w:space="0" w:color="auto"/>
              <w:right w:val="single" w:sz="12" w:space="0" w:color="auto"/>
            </w:tcBorders>
            <w:vAlign w:val="center"/>
          </w:tcPr>
          <w:p w14:paraId="21D28E77" w14:textId="7512E18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8.5 0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6FC302F" w14:textId="15695AEA"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7.50</w:t>
            </w:r>
          </w:p>
        </w:tc>
        <w:tc>
          <w:tcPr>
            <w:tcW w:w="634" w:type="dxa"/>
            <w:tcBorders>
              <w:top w:val="nil"/>
              <w:left w:val="nil"/>
              <w:bottom w:val="single" w:sz="4" w:space="0" w:color="auto"/>
              <w:right w:val="single" w:sz="12" w:space="0" w:color="auto"/>
            </w:tcBorders>
            <w:shd w:val="clear" w:color="auto" w:fill="auto"/>
            <w:noWrap/>
            <w:vAlign w:val="center"/>
            <w:hideMark/>
          </w:tcPr>
          <w:p w14:paraId="53D150F1" w14:textId="520B7594"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9.00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201B0D89" w14:textId="060E7FE0"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9.00</w:t>
            </w:r>
          </w:p>
        </w:tc>
        <w:tc>
          <w:tcPr>
            <w:tcW w:w="630" w:type="dxa"/>
            <w:tcBorders>
              <w:top w:val="nil"/>
              <w:left w:val="nil"/>
              <w:bottom w:val="single" w:sz="4" w:space="0" w:color="auto"/>
              <w:right w:val="single" w:sz="12" w:space="0" w:color="auto"/>
            </w:tcBorders>
            <w:shd w:val="clear" w:color="auto" w:fill="auto"/>
            <w:noWrap/>
            <w:vAlign w:val="center"/>
            <w:hideMark/>
          </w:tcPr>
          <w:p w14:paraId="48E30E65" w14:textId="0FBA4D8C"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9.50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9AC196C" w14:textId="79EE4CBA"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9.50</w:t>
            </w:r>
          </w:p>
        </w:tc>
        <w:tc>
          <w:tcPr>
            <w:tcW w:w="634" w:type="dxa"/>
            <w:tcBorders>
              <w:top w:val="nil"/>
              <w:left w:val="nil"/>
              <w:bottom w:val="single" w:sz="4" w:space="0" w:color="auto"/>
              <w:right w:val="single" w:sz="12" w:space="0" w:color="auto"/>
            </w:tcBorders>
            <w:shd w:val="clear" w:color="auto" w:fill="auto"/>
            <w:noWrap/>
            <w:vAlign w:val="center"/>
            <w:hideMark/>
          </w:tcPr>
          <w:p w14:paraId="6A58312E" w14:textId="690B2466"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9.00</w:t>
            </w:r>
          </w:p>
        </w:tc>
        <w:tc>
          <w:tcPr>
            <w:tcW w:w="792" w:type="dxa"/>
            <w:tcBorders>
              <w:top w:val="single" w:sz="4" w:space="0" w:color="auto"/>
              <w:left w:val="single" w:sz="12" w:space="0" w:color="auto"/>
              <w:bottom w:val="single" w:sz="4" w:space="0" w:color="auto"/>
              <w:right w:val="single" w:sz="4" w:space="0" w:color="auto"/>
            </w:tcBorders>
            <w:vAlign w:val="center"/>
          </w:tcPr>
          <w:p w14:paraId="22FDF3BB" w14:textId="12635B0E"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8.00</w:t>
            </w:r>
          </w:p>
        </w:tc>
        <w:tc>
          <w:tcPr>
            <w:tcW w:w="634" w:type="dxa"/>
            <w:tcBorders>
              <w:top w:val="single" w:sz="4" w:space="0" w:color="auto"/>
              <w:left w:val="single" w:sz="4" w:space="0" w:color="auto"/>
              <w:bottom w:val="single" w:sz="4" w:space="0" w:color="auto"/>
              <w:right w:val="single" w:sz="12" w:space="0" w:color="auto"/>
            </w:tcBorders>
            <w:vAlign w:val="center"/>
          </w:tcPr>
          <w:p w14:paraId="1EEE2738" w14:textId="52CAC029"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7.00</w:t>
            </w:r>
          </w:p>
        </w:tc>
        <w:tc>
          <w:tcPr>
            <w:tcW w:w="792" w:type="dxa"/>
            <w:tcBorders>
              <w:top w:val="single" w:sz="4" w:space="0" w:color="auto"/>
              <w:left w:val="single" w:sz="12" w:space="0" w:color="auto"/>
              <w:bottom w:val="single" w:sz="4" w:space="0" w:color="auto"/>
              <w:right w:val="single" w:sz="4" w:space="0" w:color="auto"/>
            </w:tcBorders>
            <w:vAlign w:val="center"/>
          </w:tcPr>
          <w:p w14:paraId="476D8F55" w14:textId="58B2D78F" w:rsidR="00710323" w:rsidRPr="000956EC" w:rsidRDefault="00DD1AC9" w:rsidP="00710323">
            <w:pPr>
              <w:overflowPunct/>
              <w:autoSpaceDE/>
              <w:autoSpaceDN/>
              <w:adjustRightInd/>
              <w:spacing w:after="0"/>
              <w:jc w:val="right"/>
              <w:textAlignment w:val="auto"/>
              <w:rPr>
                <w:rFonts w:ascii="Arial" w:hAnsi="Arial" w:cs="Arial" w:hint="eastAsia"/>
                <w:sz w:val="12"/>
                <w:szCs w:val="12"/>
              </w:rPr>
            </w:pPr>
            <w:r>
              <w:rPr>
                <w:rFonts w:ascii="Arial" w:hAnsi="Arial" w:cs="Arial"/>
                <w:color w:val="000000"/>
                <w:sz w:val="12"/>
                <w:szCs w:val="12"/>
                <w:lang w:val="en-US" w:eastAsia="en-US"/>
              </w:rPr>
              <w:t>9</w:t>
            </w:r>
            <w:r w:rsidR="00710323" w:rsidRPr="000956EC">
              <w:rPr>
                <w:rFonts w:ascii="Arial" w:hAnsi="Arial" w:cs="Arial"/>
                <w:color w:val="000000"/>
                <w:sz w:val="12"/>
                <w:szCs w:val="12"/>
                <w:lang w:val="en-US" w:eastAsia="en-US"/>
              </w:rPr>
              <w:t>.00</w:t>
            </w:r>
          </w:p>
        </w:tc>
        <w:tc>
          <w:tcPr>
            <w:tcW w:w="634" w:type="dxa"/>
            <w:tcBorders>
              <w:top w:val="single" w:sz="4" w:space="0" w:color="auto"/>
              <w:left w:val="single" w:sz="4" w:space="0" w:color="auto"/>
              <w:bottom w:val="single" w:sz="4" w:space="0" w:color="auto"/>
            </w:tcBorders>
            <w:vAlign w:val="center"/>
          </w:tcPr>
          <w:p w14:paraId="380DE396" w14:textId="2F2333D0" w:rsidR="00710323" w:rsidRPr="000956EC" w:rsidRDefault="00DD1AC9" w:rsidP="00710323">
            <w:pPr>
              <w:overflowPunct/>
              <w:autoSpaceDE/>
              <w:autoSpaceDN/>
              <w:adjustRightInd/>
              <w:spacing w:after="0"/>
              <w:jc w:val="right"/>
              <w:textAlignment w:val="auto"/>
              <w:rPr>
                <w:rFonts w:ascii="Arial" w:hAnsi="Arial" w:cs="Arial" w:hint="eastAsia"/>
                <w:sz w:val="12"/>
                <w:szCs w:val="12"/>
              </w:rPr>
            </w:pPr>
            <w:r>
              <w:rPr>
                <w:rFonts w:ascii="Arial" w:hAnsi="Arial" w:cs="Arial"/>
                <w:color w:val="000000"/>
                <w:sz w:val="12"/>
                <w:szCs w:val="12"/>
                <w:lang w:val="en-US" w:eastAsia="en-US"/>
              </w:rPr>
              <w:t>8</w:t>
            </w:r>
            <w:r w:rsidR="00710323" w:rsidRPr="000956EC">
              <w:rPr>
                <w:rFonts w:ascii="Arial" w:hAnsi="Arial" w:cs="Arial"/>
                <w:color w:val="000000"/>
                <w:sz w:val="12"/>
                <w:szCs w:val="12"/>
                <w:lang w:val="en-US" w:eastAsia="en-US"/>
              </w:rPr>
              <w:t>.50</w:t>
            </w:r>
          </w:p>
        </w:tc>
      </w:tr>
      <w:tr w:rsidR="00710323" w:rsidRPr="000956EC" w14:paraId="29474CDD" w14:textId="07E0CB2F" w:rsidTr="000956EC">
        <w:trPr>
          <w:gridAfter w:val="1"/>
          <w:wAfter w:w="18" w:type="dxa"/>
          <w:trHeight w:val="330"/>
        </w:trPr>
        <w:tc>
          <w:tcPr>
            <w:tcW w:w="1053" w:type="dxa"/>
            <w:tcBorders>
              <w:top w:val="nil"/>
              <w:bottom w:val="single" w:sz="4" w:space="0" w:color="auto"/>
              <w:right w:val="single" w:sz="4" w:space="0" w:color="auto"/>
            </w:tcBorders>
            <w:shd w:val="clear" w:color="auto" w:fill="auto"/>
            <w:vAlign w:val="center"/>
            <w:hideMark/>
          </w:tcPr>
          <w:p w14:paraId="0A88AAEA"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Polarization gain</w:t>
            </w:r>
          </w:p>
        </w:tc>
        <w:tc>
          <w:tcPr>
            <w:tcW w:w="501" w:type="dxa"/>
            <w:tcBorders>
              <w:top w:val="nil"/>
              <w:left w:val="nil"/>
              <w:bottom w:val="single" w:sz="4" w:space="0" w:color="auto"/>
              <w:right w:val="single" w:sz="12" w:space="0" w:color="auto"/>
            </w:tcBorders>
            <w:shd w:val="clear" w:color="auto" w:fill="auto"/>
            <w:vAlign w:val="center"/>
            <w:hideMark/>
          </w:tcPr>
          <w:p w14:paraId="38118DAD"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1475084E" w14:textId="71ACF5E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2.80</w:t>
            </w:r>
          </w:p>
        </w:tc>
        <w:tc>
          <w:tcPr>
            <w:tcW w:w="631" w:type="dxa"/>
            <w:tcBorders>
              <w:top w:val="nil"/>
              <w:left w:val="nil"/>
              <w:bottom w:val="single" w:sz="4" w:space="0" w:color="auto"/>
              <w:right w:val="single" w:sz="12" w:space="0" w:color="auto"/>
            </w:tcBorders>
            <w:shd w:val="clear" w:color="auto" w:fill="auto"/>
            <w:noWrap/>
            <w:vAlign w:val="center"/>
            <w:hideMark/>
          </w:tcPr>
          <w:p w14:paraId="68CC65BC" w14:textId="13627AC8"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2.80</w:t>
            </w:r>
          </w:p>
        </w:tc>
        <w:tc>
          <w:tcPr>
            <w:tcW w:w="862" w:type="dxa"/>
            <w:tcBorders>
              <w:top w:val="single" w:sz="4" w:space="0" w:color="auto"/>
              <w:left w:val="single" w:sz="12" w:space="0" w:color="auto"/>
              <w:bottom w:val="single" w:sz="4" w:space="0" w:color="auto"/>
              <w:right w:val="single" w:sz="4" w:space="0" w:color="auto"/>
            </w:tcBorders>
            <w:vAlign w:val="center"/>
          </w:tcPr>
          <w:p w14:paraId="0989B29B" w14:textId="20531534"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2.50</w:t>
            </w:r>
          </w:p>
        </w:tc>
        <w:tc>
          <w:tcPr>
            <w:tcW w:w="634" w:type="dxa"/>
            <w:tcBorders>
              <w:top w:val="single" w:sz="4" w:space="0" w:color="auto"/>
              <w:left w:val="single" w:sz="4" w:space="0" w:color="auto"/>
              <w:bottom w:val="single" w:sz="4" w:space="0" w:color="auto"/>
              <w:right w:val="single" w:sz="12" w:space="0" w:color="auto"/>
            </w:tcBorders>
            <w:vAlign w:val="center"/>
          </w:tcPr>
          <w:p w14:paraId="71434FAA" w14:textId="62C8BF1B"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2.50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0467CF7E" w14:textId="56AA740C"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2.50</w:t>
            </w:r>
          </w:p>
        </w:tc>
        <w:tc>
          <w:tcPr>
            <w:tcW w:w="634" w:type="dxa"/>
            <w:tcBorders>
              <w:top w:val="nil"/>
              <w:left w:val="nil"/>
              <w:bottom w:val="single" w:sz="4" w:space="0" w:color="auto"/>
              <w:right w:val="single" w:sz="12" w:space="0" w:color="auto"/>
            </w:tcBorders>
            <w:shd w:val="clear" w:color="auto" w:fill="auto"/>
            <w:noWrap/>
            <w:vAlign w:val="center"/>
            <w:hideMark/>
          </w:tcPr>
          <w:p w14:paraId="1D8FC15C" w14:textId="0A6FE49E"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2.50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2EF99CD2" w14:textId="4F3D8969"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2.00</w:t>
            </w:r>
          </w:p>
        </w:tc>
        <w:tc>
          <w:tcPr>
            <w:tcW w:w="630" w:type="dxa"/>
            <w:tcBorders>
              <w:top w:val="nil"/>
              <w:left w:val="nil"/>
              <w:bottom w:val="single" w:sz="4" w:space="0" w:color="auto"/>
              <w:right w:val="single" w:sz="12" w:space="0" w:color="auto"/>
            </w:tcBorders>
            <w:shd w:val="clear" w:color="auto" w:fill="auto"/>
            <w:noWrap/>
            <w:vAlign w:val="center"/>
            <w:hideMark/>
          </w:tcPr>
          <w:p w14:paraId="3901F92F" w14:textId="10DD3390"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2.00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1BC15233" w14:textId="3278CD56"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2.50</w:t>
            </w:r>
          </w:p>
        </w:tc>
        <w:tc>
          <w:tcPr>
            <w:tcW w:w="634" w:type="dxa"/>
            <w:tcBorders>
              <w:top w:val="nil"/>
              <w:left w:val="nil"/>
              <w:bottom w:val="single" w:sz="4" w:space="0" w:color="auto"/>
              <w:right w:val="single" w:sz="12" w:space="0" w:color="auto"/>
            </w:tcBorders>
            <w:shd w:val="clear" w:color="auto" w:fill="auto"/>
            <w:noWrap/>
            <w:vAlign w:val="center"/>
            <w:hideMark/>
          </w:tcPr>
          <w:p w14:paraId="627B2500" w14:textId="07566491"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2.80</w:t>
            </w:r>
          </w:p>
        </w:tc>
        <w:tc>
          <w:tcPr>
            <w:tcW w:w="792" w:type="dxa"/>
            <w:tcBorders>
              <w:top w:val="single" w:sz="4" w:space="0" w:color="auto"/>
              <w:left w:val="single" w:sz="12" w:space="0" w:color="auto"/>
              <w:bottom w:val="single" w:sz="4" w:space="0" w:color="auto"/>
              <w:right w:val="single" w:sz="4" w:space="0" w:color="auto"/>
            </w:tcBorders>
            <w:vAlign w:val="center"/>
          </w:tcPr>
          <w:p w14:paraId="4A86E705" w14:textId="37B0760F"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2.80</w:t>
            </w:r>
          </w:p>
        </w:tc>
        <w:tc>
          <w:tcPr>
            <w:tcW w:w="634" w:type="dxa"/>
            <w:tcBorders>
              <w:top w:val="single" w:sz="4" w:space="0" w:color="auto"/>
              <w:left w:val="single" w:sz="4" w:space="0" w:color="auto"/>
              <w:bottom w:val="single" w:sz="4" w:space="0" w:color="auto"/>
              <w:right w:val="single" w:sz="12" w:space="0" w:color="auto"/>
            </w:tcBorders>
            <w:vAlign w:val="center"/>
          </w:tcPr>
          <w:p w14:paraId="497173AA" w14:textId="371D0D41"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2.80</w:t>
            </w:r>
          </w:p>
        </w:tc>
        <w:tc>
          <w:tcPr>
            <w:tcW w:w="792" w:type="dxa"/>
            <w:tcBorders>
              <w:top w:val="single" w:sz="4" w:space="0" w:color="auto"/>
              <w:left w:val="single" w:sz="12" w:space="0" w:color="auto"/>
              <w:bottom w:val="single" w:sz="4" w:space="0" w:color="auto"/>
              <w:right w:val="single" w:sz="4" w:space="0" w:color="auto"/>
            </w:tcBorders>
            <w:vAlign w:val="center"/>
          </w:tcPr>
          <w:p w14:paraId="65DBBBD2" w14:textId="5F712487"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2.80</w:t>
            </w:r>
          </w:p>
        </w:tc>
        <w:tc>
          <w:tcPr>
            <w:tcW w:w="634" w:type="dxa"/>
            <w:tcBorders>
              <w:top w:val="single" w:sz="4" w:space="0" w:color="auto"/>
              <w:left w:val="single" w:sz="4" w:space="0" w:color="auto"/>
              <w:bottom w:val="single" w:sz="4" w:space="0" w:color="auto"/>
            </w:tcBorders>
            <w:vAlign w:val="center"/>
          </w:tcPr>
          <w:p w14:paraId="55DF8DCF" w14:textId="3590D560"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2.80</w:t>
            </w:r>
          </w:p>
        </w:tc>
      </w:tr>
      <w:tr w:rsidR="00710323" w:rsidRPr="000956EC" w14:paraId="41AEFD4D" w14:textId="7C501FD4" w:rsidTr="000956EC">
        <w:trPr>
          <w:gridAfter w:val="1"/>
          <w:wAfter w:w="18" w:type="dxa"/>
          <w:trHeight w:val="660"/>
        </w:trPr>
        <w:tc>
          <w:tcPr>
            <w:tcW w:w="1053" w:type="dxa"/>
            <w:tcBorders>
              <w:top w:val="nil"/>
              <w:bottom w:val="single" w:sz="4" w:space="0" w:color="auto"/>
              <w:right w:val="single" w:sz="4" w:space="0" w:color="auto"/>
            </w:tcBorders>
            <w:shd w:val="clear" w:color="auto" w:fill="auto"/>
            <w:vAlign w:val="center"/>
            <w:hideMark/>
          </w:tcPr>
          <w:p w14:paraId="2F5C8849"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Total implementation</w:t>
            </w:r>
            <w:r w:rsidRPr="000956EC">
              <w:rPr>
                <w:rFonts w:ascii="Arial" w:hAnsi="Arial" w:cs="Arial"/>
                <w:color w:val="000000"/>
                <w:sz w:val="12"/>
                <w:szCs w:val="14"/>
                <w:lang w:val="en-US" w:eastAsia="en-US"/>
              </w:rPr>
              <w:br/>
              <w:t>loss (nominal)</w:t>
            </w:r>
          </w:p>
        </w:tc>
        <w:tc>
          <w:tcPr>
            <w:tcW w:w="501" w:type="dxa"/>
            <w:tcBorders>
              <w:top w:val="nil"/>
              <w:left w:val="nil"/>
              <w:bottom w:val="single" w:sz="4" w:space="0" w:color="auto"/>
              <w:right w:val="single" w:sz="12" w:space="0" w:color="auto"/>
            </w:tcBorders>
            <w:shd w:val="clear" w:color="auto" w:fill="auto"/>
            <w:vAlign w:val="center"/>
            <w:hideMark/>
          </w:tcPr>
          <w:p w14:paraId="0BE535BC"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734B1F45" w14:textId="6A4E7D50"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-6.75</w:t>
            </w:r>
          </w:p>
        </w:tc>
        <w:tc>
          <w:tcPr>
            <w:tcW w:w="631" w:type="dxa"/>
            <w:tcBorders>
              <w:top w:val="nil"/>
              <w:left w:val="nil"/>
              <w:bottom w:val="single" w:sz="4" w:space="0" w:color="auto"/>
              <w:right w:val="single" w:sz="12" w:space="0" w:color="auto"/>
            </w:tcBorders>
            <w:shd w:val="clear" w:color="auto" w:fill="auto"/>
            <w:noWrap/>
            <w:vAlign w:val="center"/>
            <w:hideMark/>
          </w:tcPr>
          <w:p w14:paraId="23FBA031" w14:textId="6CEBBDB1"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-7.95</w:t>
            </w:r>
          </w:p>
        </w:tc>
        <w:tc>
          <w:tcPr>
            <w:tcW w:w="862" w:type="dxa"/>
            <w:tcBorders>
              <w:top w:val="single" w:sz="4" w:space="0" w:color="auto"/>
              <w:left w:val="single" w:sz="12" w:space="0" w:color="auto"/>
              <w:bottom w:val="single" w:sz="4" w:space="0" w:color="auto"/>
              <w:right w:val="single" w:sz="4" w:space="0" w:color="auto"/>
            </w:tcBorders>
            <w:vAlign w:val="center"/>
          </w:tcPr>
          <w:p w14:paraId="7A66220E" w14:textId="3BD02CF9"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-7.25</w:t>
            </w:r>
          </w:p>
        </w:tc>
        <w:tc>
          <w:tcPr>
            <w:tcW w:w="634" w:type="dxa"/>
            <w:tcBorders>
              <w:top w:val="single" w:sz="4" w:space="0" w:color="auto"/>
              <w:left w:val="single" w:sz="4" w:space="0" w:color="auto"/>
              <w:bottom w:val="single" w:sz="4" w:space="0" w:color="auto"/>
              <w:right w:val="single" w:sz="12" w:space="0" w:color="auto"/>
            </w:tcBorders>
            <w:vAlign w:val="center"/>
          </w:tcPr>
          <w:p w14:paraId="3BAD0960" w14:textId="67375D6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-8.50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073D30AD" w14:textId="488DF321"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-5.10</w:t>
            </w:r>
          </w:p>
        </w:tc>
        <w:tc>
          <w:tcPr>
            <w:tcW w:w="634" w:type="dxa"/>
            <w:tcBorders>
              <w:top w:val="nil"/>
              <w:left w:val="nil"/>
              <w:bottom w:val="single" w:sz="4" w:space="0" w:color="auto"/>
              <w:right w:val="single" w:sz="12" w:space="0" w:color="auto"/>
            </w:tcBorders>
            <w:shd w:val="clear" w:color="auto" w:fill="auto"/>
            <w:noWrap/>
            <w:vAlign w:val="center"/>
            <w:hideMark/>
          </w:tcPr>
          <w:p w14:paraId="51810B27" w14:textId="282F8EAB"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-6.10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5E95BABF" w14:textId="2A488158"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-4.85</w:t>
            </w:r>
          </w:p>
        </w:tc>
        <w:tc>
          <w:tcPr>
            <w:tcW w:w="630" w:type="dxa"/>
            <w:tcBorders>
              <w:top w:val="nil"/>
              <w:left w:val="nil"/>
              <w:bottom w:val="single" w:sz="4" w:space="0" w:color="auto"/>
              <w:right w:val="single" w:sz="12" w:space="0" w:color="auto"/>
            </w:tcBorders>
            <w:shd w:val="clear" w:color="auto" w:fill="auto"/>
            <w:noWrap/>
            <w:vAlign w:val="center"/>
            <w:hideMark/>
          </w:tcPr>
          <w:p w14:paraId="312A1A96" w14:textId="4849FA15"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-5.85</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374AC73B" w14:textId="37A2BA16"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-6.75</w:t>
            </w:r>
          </w:p>
        </w:tc>
        <w:tc>
          <w:tcPr>
            <w:tcW w:w="634" w:type="dxa"/>
            <w:tcBorders>
              <w:top w:val="nil"/>
              <w:left w:val="nil"/>
              <w:bottom w:val="single" w:sz="4" w:space="0" w:color="auto"/>
              <w:right w:val="single" w:sz="12" w:space="0" w:color="auto"/>
            </w:tcBorders>
            <w:shd w:val="clear" w:color="auto" w:fill="auto"/>
            <w:noWrap/>
            <w:vAlign w:val="center"/>
            <w:hideMark/>
          </w:tcPr>
          <w:p w14:paraId="4AC9FB00" w14:textId="6A8A9B7C"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-7.75</w:t>
            </w:r>
          </w:p>
        </w:tc>
        <w:tc>
          <w:tcPr>
            <w:tcW w:w="792" w:type="dxa"/>
            <w:tcBorders>
              <w:top w:val="single" w:sz="4" w:space="0" w:color="auto"/>
              <w:left w:val="single" w:sz="12" w:space="0" w:color="auto"/>
              <w:bottom w:val="single" w:sz="4" w:space="0" w:color="auto"/>
              <w:right w:val="single" w:sz="4" w:space="0" w:color="auto"/>
            </w:tcBorders>
            <w:vAlign w:val="center"/>
          </w:tcPr>
          <w:p w14:paraId="67E4427B" w14:textId="386760D7"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-4.25</w:t>
            </w:r>
          </w:p>
        </w:tc>
        <w:tc>
          <w:tcPr>
            <w:tcW w:w="634" w:type="dxa"/>
            <w:tcBorders>
              <w:top w:val="single" w:sz="4" w:space="0" w:color="auto"/>
              <w:left w:val="single" w:sz="4" w:space="0" w:color="auto"/>
              <w:bottom w:val="single" w:sz="4" w:space="0" w:color="auto"/>
              <w:right w:val="single" w:sz="12" w:space="0" w:color="auto"/>
            </w:tcBorders>
            <w:vAlign w:val="center"/>
          </w:tcPr>
          <w:p w14:paraId="63F71340" w14:textId="635D8266"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-4.25</w:t>
            </w:r>
          </w:p>
        </w:tc>
        <w:tc>
          <w:tcPr>
            <w:tcW w:w="792" w:type="dxa"/>
            <w:tcBorders>
              <w:top w:val="single" w:sz="4" w:space="0" w:color="auto"/>
              <w:left w:val="single" w:sz="12" w:space="0" w:color="auto"/>
              <w:bottom w:val="single" w:sz="4" w:space="0" w:color="auto"/>
              <w:right w:val="single" w:sz="4" w:space="0" w:color="auto"/>
            </w:tcBorders>
            <w:vAlign w:val="center"/>
          </w:tcPr>
          <w:p w14:paraId="1DA2FADD" w14:textId="674805DC" w:rsidR="00710323" w:rsidRPr="000956EC" w:rsidRDefault="00710323" w:rsidP="00DD1AC9">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7</w:t>
            </w: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9</w:t>
            </w:r>
            <w:r w:rsidRPr="000956EC">
              <w:rPr>
                <w:rFonts w:ascii="Arial" w:hAnsi="Arial" w:cs="Arial"/>
                <w:color w:val="000000"/>
                <w:sz w:val="12"/>
                <w:szCs w:val="12"/>
                <w:lang w:val="en-US" w:eastAsia="en-US"/>
              </w:rPr>
              <w:t>5</w:t>
            </w:r>
          </w:p>
        </w:tc>
        <w:tc>
          <w:tcPr>
            <w:tcW w:w="634" w:type="dxa"/>
            <w:tcBorders>
              <w:top w:val="single" w:sz="4" w:space="0" w:color="auto"/>
              <w:left w:val="single" w:sz="4" w:space="0" w:color="auto"/>
              <w:bottom w:val="single" w:sz="4" w:space="0" w:color="auto"/>
            </w:tcBorders>
            <w:vAlign w:val="center"/>
          </w:tcPr>
          <w:p w14:paraId="28E1FBDB" w14:textId="49B0DE1C" w:rsidR="00710323" w:rsidRPr="000956EC" w:rsidRDefault="00710323" w:rsidP="00DD1AC9">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9</w:t>
            </w: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1</w:t>
            </w:r>
            <w:r w:rsidRPr="000956EC">
              <w:rPr>
                <w:rFonts w:ascii="Arial" w:hAnsi="Arial" w:cs="Arial"/>
                <w:color w:val="000000"/>
                <w:sz w:val="12"/>
                <w:szCs w:val="12"/>
                <w:lang w:val="en-US" w:eastAsia="en-US"/>
              </w:rPr>
              <w:t>5</w:t>
            </w:r>
          </w:p>
        </w:tc>
      </w:tr>
      <w:tr w:rsidR="00710323" w:rsidRPr="000956EC" w14:paraId="71FFEE4B" w14:textId="0087D382" w:rsidTr="000956EC">
        <w:trPr>
          <w:gridAfter w:val="1"/>
          <w:wAfter w:w="18" w:type="dxa"/>
          <w:trHeight w:val="660"/>
        </w:trPr>
        <w:tc>
          <w:tcPr>
            <w:tcW w:w="1053" w:type="dxa"/>
            <w:tcBorders>
              <w:top w:val="nil"/>
              <w:bottom w:val="single" w:sz="4" w:space="0" w:color="auto"/>
              <w:right w:val="single" w:sz="4" w:space="0" w:color="auto"/>
            </w:tcBorders>
            <w:shd w:val="clear" w:color="auto" w:fill="auto"/>
            <w:vAlign w:val="center"/>
            <w:hideMark/>
          </w:tcPr>
          <w:p w14:paraId="713845B1" w14:textId="56DB2ECE"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Total implementation</w:t>
            </w:r>
            <w:r w:rsidRPr="000956EC">
              <w:rPr>
                <w:rFonts w:ascii="Arial" w:hAnsi="Arial" w:cs="Arial"/>
                <w:color w:val="000000"/>
                <w:sz w:val="12"/>
                <w:szCs w:val="14"/>
                <w:lang w:val="en-US" w:eastAsia="en-US"/>
              </w:rPr>
              <w:br/>
              <w:t>loss (worst-case)</w:t>
            </w:r>
          </w:p>
        </w:tc>
        <w:tc>
          <w:tcPr>
            <w:tcW w:w="501" w:type="dxa"/>
            <w:tcBorders>
              <w:top w:val="nil"/>
              <w:left w:val="nil"/>
              <w:bottom w:val="single" w:sz="4" w:space="0" w:color="auto"/>
              <w:right w:val="single" w:sz="12" w:space="0" w:color="auto"/>
            </w:tcBorders>
            <w:shd w:val="clear" w:color="auto" w:fill="auto"/>
            <w:vAlign w:val="center"/>
            <w:hideMark/>
          </w:tcPr>
          <w:p w14:paraId="16D68586"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3ECD20A6" w14:textId="3AC1F819"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-9.60</w:t>
            </w:r>
          </w:p>
        </w:tc>
        <w:tc>
          <w:tcPr>
            <w:tcW w:w="631" w:type="dxa"/>
            <w:tcBorders>
              <w:top w:val="nil"/>
              <w:left w:val="nil"/>
              <w:bottom w:val="single" w:sz="4" w:space="0" w:color="auto"/>
              <w:right w:val="single" w:sz="12" w:space="0" w:color="auto"/>
            </w:tcBorders>
            <w:shd w:val="clear" w:color="auto" w:fill="auto"/>
            <w:noWrap/>
            <w:vAlign w:val="center"/>
            <w:hideMark/>
          </w:tcPr>
          <w:p w14:paraId="5E6A5845" w14:textId="05C9B98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-10.90</w:t>
            </w:r>
          </w:p>
        </w:tc>
        <w:tc>
          <w:tcPr>
            <w:tcW w:w="862" w:type="dxa"/>
            <w:tcBorders>
              <w:top w:val="single" w:sz="4" w:space="0" w:color="auto"/>
              <w:left w:val="single" w:sz="12" w:space="0" w:color="auto"/>
              <w:bottom w:val="single" w:sz="4" w:space="0" w:color="auto"/>
              <w:right w:val="single" w:sz="4" w:space="0" w:color="auto"/>
            </w:tcBorders>
            <w:vAlign w:val="center"/>
          </w:tcPr>
          <w:p w14:paraId="2100BDA4" w14:textId="7848121F"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-10.00</w:t>
            </w:r>
          </w:p>
        </w:tc>
        <w:tc>
          <w:tcPr>
            <w:tcW w:w="634" w:type="dxa"/>
            <w:tcBorders>
              <w:top w:val="single" w:sz="4" w:space="0" w:color="auto"/>
              <w:left w:val="single" w:sz="4" w:space="0" w:color="auto"/>
              <w:bottom w:val="single" w:sz="4" w:space="0" w:color="auto"/>
              <w:right w:val="single" w:sz="12" w:space="0" w:color="auto"/>
            </w:tcBorders>
            <w:vAlign w:val="center"/>
          </w:tcPr>
          <w:p w14:paraId="523966D9" w14:textId="23E86E5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-11.45</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30C93259" w14:textId="4534F13E"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-7.45</w:t>
            </w:r>
          </w:p>
        </w:tc>
        <w:tc>
          <w:tcPr>
            <w:tcW w:w="634" w:type="dxa"/>
            <w:tcBorders>
              <w:top w:val="nil"/>
              <w:left w:val="nil"/>
              <w:bottom w:val="single" w:sz="4" w:space="0" w:color="auto"/>
              <w:right w:val="single" w:sz="12" w:space="0" w:color="auto"/>
            </w:tcBorders>
            <w:shd w:val="clear" w:color="auto" w:fill="auto"/>
            <w:noWrap/>
            <w:vAlign w:val="center"/>
            <w:hideMark/>
          </w:tcPr>
          <w:p w14:paraId="319D4DA9" w14:textId="781E6164"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-8.55</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7AB91140" w14:textId="332B1464"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-8.70</w:t>
            </w:r>
          </w:p>
        </w:tc>
        <w:tc>
          <w:tcPr>
            <w:tcW w:w="630" w:type="dxa"/>
            <w:tcBorders>
              <w:top w:val="nil"/>
              <w:left w:val="nil"/>
              <w:bottom w:val="single" w:sz="4" w:space="0" w:color="auto"/>
              <w:right w:val="single" w:sz="12" w:space="0" w:color="auto"/>
            </w:tcBorders>
            <w:shd w:val="clear" w:color="auto" w:fill="auto"/>
            <w:noWrap/>
            <w:vAlign w:val="center"/>
            <w:hideMark/>
          </w:tcPr>
          <w:p w14:paraId="28D7C1AF" w14:textId="7ABEC9FB"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-8.80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782E0CBF" w14:textId="429D6334"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-9.60</w:t>
            </w:r>
          </w:p>
        </w:tc>
        <w:tc>
          <w:tcPr>
            <w:tcW w:w="634" w:type="dxa"/>
            <w:tcBorders>
              <w:top w:val="nil"/>
              <w:left w:val="nil"/>
              <w:bottom w:val="single" w:sz="4" w:space="0" w:color="auto"/>
              <w:right w:val="single" w:sz="12" w:space="0" w:color="auto"/>
            </w:tcBorders>
            <w:shd w:val="clear" w:color="auto" w:fill="auto"/>
            <w:noWrap/>
            <w:vAlign w:val="center"/>
            <w:hideMark/>
          </w:tcPr>
          <w:p w14:paraId="19ABE1BE" w14:textId="5D6DF4D4"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-10.20</w:t>
            </w:r>
          </w:p>
        </w:tc>
        <w:tc>
          <w:tcPr>
            <w:tcW w:w="792" w:type="dxa"/>
            <w:tcBorders>
              <w:top w:val="single" w:sz="4" w:space="0" w:color="auto"/>
              <w:left w:val="single" w:sz="12" w:space="0" w:color="auto"/>
              <w:bottom w:val="single" w:sz="4" w:space="0" w:color="auto"/>
              <w:right w:val="single" w:sz="4" w:space="0" w:color="auto"/>
            </w:tcBorders>
            <w:vAlign w:val="center"/>
          </w:tcPr>
          <w:p w14:paraId="6FA9DA24" w14:textId="2F39F373"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-6.10</w:t>
            </w:r>
          </w:p>
        </w:tc>
        <w:tc>
          <w:tcPr>
            <w:tcW w:w="634" w:type="dxa"/>
            <w:tcBorders>
              <w:top w:val="single" w:sz="4" w:space="0" w:color="auto"/>
              <w:left w:val="single" w:sz="4" w:space="0" w:color="auto"/>
              <w:bottom w:val="single" w:sz="4" w:space="0" w:color="auto"/>
              <w:right w:val="single" w:sz="12" w:space="0" w:color="auto"/>
            </w:tcBorders>
            <w:vAlign w:val="center"/>
          </w:tcPr>
          <w:p w14:paraId="5A63F7A1" w14:textId="11935F10"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-6.70</w:t>
            </w:r>
          </w:p>
        </w:tc>
        <w:tc>
          <w:tcPr>
            <w:tcW w:w="792" w:type="dxa"/>
            <w:tcBorders>
              <w:top w:val="single" w:sz="4" w:space="0" w:color="auto"/>
              <w:left w:val="single" w:sz="12" w:space="0" w:color="auto"/>
              <w:bottom w:val="single" w:sz="4" w:space="0" w:color="auto"/>
              <w:right w:val="single" w:sz="4" w:space="0" w:color="auto"/>
            </w:tcBorders>
            <w:vAlign w:val="center"/>
          </w:tcPr>
          <w:p w14:paraId="42F14305" w14:textId="47A6FBB4" w:rsidR="00710323" w:rsidRPr="000956EC" w:rsidRDefault="00710323" w:rsidP="00DD1AC9">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10</w:t>
            </w: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8</w:t>
            </w:r>
            <w:r w:rsidRPr="000956EC">
              <w:rPr>
                <w:rFonts w:ascii="Arial" w:hAnsi="Arial" w:cs="Arial"/>
                <w:color w:val="000000"/>
                <w:sz w:val="12"/>
                <w:szCs w:val="12"/>
                <w:lang w:val="en-US" w:eastAsia="en-US"/>
              </w:rPr>
              <w:t>0</w:t>
            </w:r>
          </w:p>
        </w:tc>
        <w:tc>
          <w:tcPr>
            <w:tcW w:w="634" w:type="dxa"/>
            <w:tcBorders>
              <w:top w:val="single" w:sz="4" w:space="0" w:color="auto"/>
              <w:left w:val="single" w:sz="4" w:space="0" w:color="auto"/>
              <w:bottom w:val="single" w:sz="4" w:space="0" w:color="auto"/>
            </w:tcBorders>
            <w:vAlign w:val="center"/>
          </w:tcPr>
          <w:p w14:paraId="75C9D89F" w14:textId="7654E862" w:rsidR="00710323" w:rsidRPr="000956EC" w:rsidRDefault="00710323" w:rsidP="00DD1AC9">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-1</w:t>
            </w:r>
            <w:r w:rsidR="00DD1AC9">
              <w:rPr>
                <w:rFonts w:ascii="Arial" w:hAnsi="Arial" w:cs="Arial"/>
                <w:color w:val="000000"/>
                <w:sz w:val="12"/>
                <w:szCs w:val="12"/>
                <w:lang w:val="en-US" w:eastAsia="en-US"/>
              </w:rPr>
              <w:t>2</w:t>
            </w:r>
            <w:r w:rsidRPr="000956EC">
              <w:rPr>
                <w:rFonts w:ascii="Arial" w:hAnsi="Arial" w:cs="Arial"/>
                <w:color w:val="000000"/>
                <w:sz w:val="12"/>
                <w:szCs w:val="12"/>
                <w:lang w:val="en-US" w:eastAsia="en-US"/>
              </w:rPr>
              <w:t>.</w:t>
            </w:r>
            <w:r w:rsidR="00DD1AC9">
              <w:rPr>
                <w:rFonts w:ascii="Arial" w:hAnsi="Arial" w:cs="Arial"/>
                <w:color w:val="000000"/>
                <w:sz w:val="12"/>
                <w:szCs w:val="12"/>
                <w:lang w:val="en-US" w:eastAsia="en-US"/>
              </w:rPr>
              <w:t>1</w:t>
            </w:r>
            <w:r w:rsidRPr="000956EC">
              <w:rPr>
                <w:rFonts w:ascii="Arial" w:hAnsi="Arial" w:cs="Arial"/>
                <w:color w:val="000000"/>
                <w:sz w:val="12"/>
                <w:szCs w:val="12"/>
                <w:lang w:val="en-US" w:eastAsia="en-US"/>
              </w:rPr>
              <w:t>0</w:t>
            </w:r>
          </w:p>
        </w:tc>
      </w:tr>
      <w:tr w:rsidR="00710323" w:rsidRPr="000956EC" w14:paraId="571C5F80" w14:textId="5B884705" w:rsidTr="000956EC">
        <w:trPr>
          <w:gridAfter w:val="1"/>
          <w:wAfter w:w="18" w:type="dxa"/>
          <w:trHeight w:val="330"/>
        </w:trPr>
        <w:tc>
          <w:tcPr>
            <w:tcW w:w="1053" w:type="dxa"/>
            <w:tcBorders>
              <w:top w:val="nil"/>
              <w:bottom w:val="single" w:sz="4" w:space="0" w:color="auto"/>
              <w:right w:val="single" w:sz="4" w:space="0" w:color="auto"/>
            </w:tcBorders>
            <w:shd w:val="clear" w:color="auto" w:fill="auto"/>
            <w:vAlign w:val="center"/>
            <w:hideMark/>
          </w:tcPr>
          <w:p w14:paraId="02659CE6" w14:textId="3C76F7AA"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P1d per PA (nominal)</w:t>
            </w:r>
          </w:p>
        </w:tc>
        <w:tc>
          <w:tcPr>
            <w:tcW w:w="501" w:type="dxa"/>
            <w:tcBorders>
              <w:top w:val="nil"/>
              <w:left w:val="nil"/>
              <w:bottom w:val="single" w:sz="4" w:space="0" w:color="auto"/>
              <w:right w:val="single" w:sz="12" w:space="0" w:color="auto"/>
            </w:tcBorders>
            <w:shd w:val="clear" w:color="auto" w:fill="auto"/>
            <w:vAlign w:val="center"/>
            <w:hideMark/>
          </w:tcPr>
          <w:p w14:paraId="0F40DB88"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dBm</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463297D2" w14:textId="2934CAB1"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14.00</w:t>
            </w:r>
          </w:p>
        </w:tc>
        <w:tc>
          <w:tcPr>
            <w:tcW w:w="631" w:type="dxa"/>
            <w:tcBorders>
              <w:top w:val="nil"/>
              <w:left w:val="nil"/>
              <w:bottom w:val="single" w:sz="4" w:space="0" w:color="auto"/>
              <w:right w:val="single" w:sz="12" w:space="0" w:color="auto"/>
            </w:tcBorders>
            <w:shd w:val="clear" w:color="auto" w:fill="auto"/>
            <w:noWrap/>
            <w:vAlign w:val="center"/>
            <w:hideMark/>
          </w:tcPr>
          <w:p w14:paraId="1DF7329A" w14:textId="466B60A2"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14.00</w:t>
            </w:r>
          </w:p>
        </w:tc>
        <w:tc>
          <w:tcPr>
            <w:tcW w:w="862" w:type="dxa"/>
            <w:tcBorders>
              <w:top w:val="single" w:sz="4" w:space="0" w:color="auto"/>
              <w:left w:val="single" w:sz="12" w:space="0" w:color="auto"/>
              <w:bottom w:val="single" w:sz="4" w:space="0" w:color="auto"/>
              <w:right w:val="single" w:sz="4" w:space="0" w:color="auto"/>
            </w:tcBorders>
            <w:vAlign w:val="center"/>
          </w:tcPr>
          <w:p w14:paraId="7DDE201A" w14:textId="25119CF0"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14.00</w:t>
            </w:r>
          </w:p>
        </w:tc>
        <w:tc>
          <w:tcPr>
            <w:tcW w:w="634" w:type="dxa"/>
            <w:tcBorders>
              <w:top w:val="single" w:sz="4" w:space="0" w:color="auto"/>
              <w:left w:val="single" w:sz="4" w:space="0" w:color="auto"/>
              <w:bottom w:val="single" w:sz="4" w:space="0" w:color="auto"/>
              <w:right w:val="single" w:sz="12" w:space="0" w:color="auto"/>
            </w:tcBorders>
            <w:vAlign w:val="center"/>
          </w:tcPr>
          <w:p w14:paraId="40ACCBE1" w14:textId="35A1F753"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14.00 </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2F5CF338" w14:textId="38F6FF0C"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14.00</w:t>
            </w:r>
          </w:p>
        </w:tc>
        <w:tc>
          <w:tcPr>
            <w:tcW w:w="634" w:type="dxa"/>
            <w:tcBorders>
              <w:top w:val="nil"/>
              <w:left w:val="nil"/>
              <w:bottom w:val="single" w:sz="4" w:space="0" w:color="auto"/>
              <w:right w:val="single" w:sz="12" w:space="0" w:color="auto"/>
            </w:tcBorders>
            <w:shd w:val="clear" w:color="auto" w:fill="auto"/>
            <w:noWrap/>
            <w:vAlign w:val="center"/>
            <w:hideMark/>
          </w:tcPr>
          <w:p w14:paraId="1BEB8ACE" w14:textId="6FA6AD6E"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12.50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3638C40C" w14:textId="32003613"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14.00</w:t>
            </w:r>
          </w:p>
        </w:tc>
        <w:tc>
          <w:tcPr>
            <w:tcW w:w="630" w:type="dxa"/>
            <w:tcBorders>
              <w:top w:val="nil"/>
              <w:left w:val="nil"/>
              <w:bottom w:val="single" w:sz="4" w:space="0" w:color="auto"/>
              <w:right w:val="single" w:sz="12" w:space="0" w:color="auto"/>
            </w:tcBorders>
            <w:shd w:val="clear" w:color="auto" w:fill="auto"/>
            <w:noWrap/>
            <w:vAlign w:val="center"/>
            <w:hideMark/>
          </w:tcPr>
          <w:p w14:paraId="3AC5D794" w14:textId="75745BAC"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12.00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52EC0CBA" w14:textId="32EFE7F3"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14.00</w:t>
            </w:r>
          </w:p>
        </w:tc>
        <w:tc>
          <w:tcPr>
            <w:tcW w:w="634" w:type="dxa"/>
            <w:tcBorders>
              <w:top w:val="nil"/>
              <w:left w:val="nil"/>
              <w:bottom w:val="single" w:sz="4" w:space="0" w:color="auto"/>
              <w:right w:val="single" w:sz="12" w:space="0" w:color="auto"/>
            </w:tcBorders>
            <w:shd w:val="clear" w:color="auto" w:fill="auto"/>
            <w:noWrap/>
            <w:vAlign w:val="center"/>
            <w:hideMark/>
          </w:tcPr>
          <w:p w14:paraId="44B10BBE" w14:textId="3F69B56B"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12.50</w:t>
            </w:r>
          </w:p>
        </w:tc>
        <w:tc>
          <w:tcPr>
            <w:tcW w:w="792" w:type="dxa"/>
            <w:tcBorders>
              <w:top w:val="single" w:sz="4" w:space="0" w:color="auto"/>
              <w:left w:val="single" w:sz="12" w:space="0" w:color="auto"/>
              <w:bottom w:val="single" w:sz="4" w:space="0" w:color="auto"/>
              <w:right w:val="single" w:sz="4" w:space="0" w:color="auto"/>
            </w:tcBorders>
            <w:vAlign w:val="center"/>
          </w:tcPr>
          <w:p w14:paraId="631B4206" w14:textId="291F892D"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14.00</w:t>
            </w:r>
          </w:p>
        </w:tc>
        <w:tc>
          <w:tcPr>
            <w:tcW w:w="634" w:type="dxa"/>
            <w:tcBorders>
              <w:top w:val="single" w:sz="4" w:space="0" w:color="auto"/>
              <w:left w:val="single" w:sz="4" w:space="0" w:color="auto"/>
              <w:bottom w:val="single" w:sz="4" w:space="0" w:color="auto"/>
              <w:right w:val="single" w:sz="12" w:space="0" w:color="auto"/>
            </w:tcBorders>
            <w:vAlign w:val="center"/>
          </w:tcPr>
          <w:p w14:paraId="056A92F3" w14:textId="1FFDAAE4"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14.00</w:t>
            </w:r>
          </w:p>
        </w:tc>
        <w:tc>
          <w:tcPr>
            <w:tcW w:w="792" w:type="dxa"/>
            <w:tcBorders>
              <w:top w:val="single" w:sz="4" w:space="0" w:color="auto"/>
              <w:left w:val="single" w:sz="12" w:space="0" w:color="auto"/>
              <w:bottom w:val="single" w:sz="4" w:space="0" w:color="auto"/>
              <w:right w:val="single" w:sz="4" w:space="0" w:color="auto"/>
            </w:tcBorders>
            <w:vAlign w:val="center"/>
          </w:tcPr>
          <w:p w14:paraId="1CF6E8AA" w14:textId="4DDDCA4C"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14.00</w:t>
            </w:r>
          </w:p>
        </w:tc>
        <w:tc>
          <w:tcPr>
            <w:tcW w:w="634" w:type="dxa"/>
            <w:tcBorders>
              <w:top w:val="single" w:sz="4" w:space="0" w:color="auto"/>
              <w:left w:val="single" w:sz="4" w:space="0" w:color="auto"/>
              <w:bottom w:val="single" w:sz="4" w:space="0" w:color="auto"/>
            </w:tcBorders>
            <w:vAlign w:val="center"/>
          </w:tcPr>
          <w:p w14:paraId="1619688E" w14:textId="26114FFE"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14.00</w:t>
            </w:r>
          </w:p>
        </w:tc>
      </w:tr>
      <w:tr w:rsidR="00710323" w:rsidRPr="000956EC" w14:paraId="54C7D8FF" w14:textId="67CCCBFA" w:rsidTr="000956EC">
        <w:trPr>
          <w:gridAfter w:val="1"/>
          <w:wAfter w:w="18" w:type="dxa"/>
          <w:trHeight w:val="330"/>
        </w:trPr>
        <w:tc>
          <w:tcPr>
            <w:tcW w:w="1053" w:type="dxa"/>
            <w:tcBorders>
              <w:top w:val="nil"/>
              <w:bottom w:val="single" w:sz="4" w:space="0" w:color="auto"/>
              <w:right w:val="single" w:sz="4" w:space="0" w:color="auto"/>
            </w:tcBorders>
            <w:shd w:val="clear" w:color="auto" w:fill="auto"/>
            <w:vAlign w:val="center"/>
            <w:hideMark/>
          </w:tcPr>
          <w:p w14:paraId="7688856B"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P1d per PA (minimum)</w:t>
            </w:r>
          </w:p>
        </w:tc>
        <w:tc>
          <w:tcPr>
            <w:tcW w:w="501" w:type="dxa"/>
            <w:tcBorders>
              <w:top w:val="nil"/>
              <w:left w:val="nil"/>
              <w:bottom w:val="single" w:sz="4" w:space="0" w:color="auto"/>
              <w:right w:val="single" w:sz="12" w:space="0" w:color="auto"/>
            </w:tcBorders>
            <w:shd w:val="clear" w:color="auto" w:fill="auto"/>
            <w:vAlign w:val="center"/>
            <w:hideMark/>
          </w:tcPr>
          <w:p w14:paraId="6E73447E"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dBm</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571781E5" w14:textId="6950B62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14.00</w:t>
            </w:r>
          </w:p>
        </w:tc>
        <w:tc>
          <w:tcPr>
            <w:tcW w:w="631" w:type="dxa"/>
            <w:tcBorders>
              <w:top w:val="nil"/>
              <w:left w:val="nil"/>
              <w:bottom w:val="single" w:sz="4" w:space="0" w:color="auto"/>
              <w:right w:val="single" w:sz="12" w:space="0" w:color="auto"/>
            </w:tcBorders>
            <w:shd w:val="clear" w:color="auto" w:fill="auto"/>
            <w:noWrap/>
            <w:vAlign w:val="center"/>
            <w:hideMark/>
          </w:tcPr>
          <w:p w14:paraId="3BDF0C3A" w14:textId="5868C571"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14.00</w:t>
            </w:r>
          </w:p>
        </w:tc>
        <w:tc>
          <w:tcPr>
            <w:tcW w:w="862" w:type="dxa"/>
            <w:tcBorders>
              <w:top w:val="single" w:sz="4" w:space="0" w:color="auto"/>
              <w:left w:val="single" w:sz="12" w:space="0" w:color="auto"/>
              <w:bottom w:val="single" w:sz="4" w:space="0" w:color="auto"/>
              <w:right w:val="single" w:sz="4" w:space="0" w:color="auto"/>
            </w:tcBorders>
            <w:vAlign w:val="center"/>
          </w:tcPr>
          <w:p w14:paraId="4DCD59CB" w14:textId="2C73994F"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14.00</w:t>
            </w:r>
          </w:p>
        </w:tc>
        <w:tc>
          <w:tcPr>
            <w:tcW w:w="634" w:type="dxa"/>
            <w:tcBorders>
              <w:top w:val="single" w:sz="4" w:space="0" w:color="auto"/>
              <w:left w:val="single" w:sz="4" w:space="0" w:color="auto"/>
              <w:bottom w:val="single" w:sz="4" w:space="0" w:color="auto"/>
              <w:right w:val="single" w:sz="12" w:space="0" w:color="auto"/>
            </w:tcBorders>
            <w:vAlign w:val="center"/>
          </w:tcPr>
          <w:p w14:paraId="33CA87AE" w14:textId="01AF9F4B"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14.00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76E4E555" w14:textId="209134F4"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14.00</w:t>
            </w:r>
          </w:p>
        </w:tc>
        <w:tc>
          <w:tcPr>
            <w:tcW w:w="634" w:type="dxa"/>
            <w:tcBorders>
              <w:top w:val="nil"/>
              <w:left w:val="nil"/>
              <w:bottom w:val="single" w:sz="4" w:space="0" w:color="auto"/>
              <w:right w:val="single" w:sz="12" w:space="0" w:color="auto"/>
            </w:tcBorders>
            <w:shd w:val="clear" w:color="auto" w:fill="auto"/>
            <w:noWrap/>
            <w:vAlign w:val="center"/>
            <w:hideMark/>
          </w:tcPr>
          <w:p w14:paraId="463EED08" w14:textId="61320D81"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12.50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77182F2F" w14:textId="3A9C5BC2"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14.00</w:t>
            </w:r>
          </w:p>
        </w:tc>
        <w:tc>
          <w:tcPr>
            <w:tcW w:w="630" w:type="dxa"/>
            <w:tcBorders>
              <w:top w:val="nil"/>
              <w:left w:val="nil"/>
              <w:bottom w:val="single" w:sz="4" w:space="0" w:color="auto"/>
              <w:right w:val="single" w:sz="12" w:space="0" w:color="auto"/>
            </w:tcBorders>
            <w:shd w:val="clear" w:color="auto" w:fill="auto"/>
            <w:noWrap/>
            <w:vAlign w:val="center"/>
            <w:hideMark/>
          </w:tcPr>
          <w:p w14:paraId="75D711C3" w14:textId="07E16B8C"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12.00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56D15110" w14:textId="1CBE5B35"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14.00</w:t>
            </w:r>
          </w:p>
        </w:tc>
        <w:tc>
          <w:tcPr>
            <w:tcW w:w="634" w:type="dxa"/>
            <w:tcBorders>
              <w:top w:val="nil"/>
              <w:left w:val="nil"/>
              <w:bottom w:val="single" w:sz="4" w:space="0" w:color="auto"/>
              <w:right w:val="single" w:sz="12" w:space="0" w:color="auto"/>
            </w:tcBorders>
            <w:shd w:val="clear" w:color="auto" w:fill="auto"/>
            <w:noWrap/>
            <w:vAlign w:val="center"/>
            <w:hideMark/>
          </w:tcPr>
          <w:p w14:paraId="371FA9F4" w14:textId="035F8AB1"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12.50</w:t>
            </w:r>
          </w:p>
        </w:tc>
        <w:tc>
          <w:tcPr>
            <w:tcW w:w="792" w:type="dxa"/>
            <w:tcBorders>
              <w:top w:val="single" w:sz="4" w:space="0" w:color="auto"/>
              <w:left w:val="single" w:sz="12" w:space="0" w:color="auto"/>
              <w:bottom w:val="single" w:sz="4" w:space="0" w:color="auto"/>
              <w:right w:val="single" w:sz="4" w:space="0" w:color="auto"/>
            </w:tcBorders>
            <w:vAlign w:val="center"/>
          </w:tcPr>
          <w:p w14:paraId="2A05E876" w14:textId="2DEFFD48"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14.00</w:t>
            </w:r>
          </w:p>
        </w:tc>
        <w:tc>
          <w:tcPr>
            <w:tcW w:w="634" w:type="dxa"/>
            <w:tcBorders>
              <w:top w:val="single" w:sz="4" w:space="0" w:color="auto"/>
              <w:left w:val="single" w:sz="4" w:space="0" w:color="auto"/>
              <w:bottom w:val="single" w:sz="4" w:space="0" w:color="auto"/>
              <w:right w:val="single" w:sz="12" w:space="0" w:color="auto"/>
            </w:tcBorders>
            <w:vAlign w:val="center"/>
          </w:tcPr>
          <w:p w14:paraId="1FF7491E" w14:textId="743546B5"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14.00</w:t>
            </w:r>
          </w:p>
        </w:tc>
        <w:tc>
          <w:tcPr>
            <w:tcW w:w="792" w:type="dxa"/>
            <w:tcBorders>
              <w:top w:val="single" w:sz="4" w:space="0" w:color="auto"/>
              <w:left w:val="single" w:sz="12" w:space="0" w:color="auto"/>
              <w:bottom w:val="single" w:sz="4" w:space="0" w:color="auto"/>
              <w:right w:val="single" w:sz="4" w:space="0" w:color="auto"/>
            </w:tcBorders>
            <w:vAlign w:val="center"/>
          </w:tcPr>
          <w:p w14:paraId="5935B1B3" w14:textId="219BD3BE"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14.00</w:t>
            </w:r>
          </w:p>
        </w:tc>
        <w:tc>
          <w:tcPr>
            <w:tcW w:w="634" w:type="dxa"/>
            <w:tcBorders>
              <w:top w:val="single" w:sz="4" w:space="0" w:color="auto"/>
              <w:left w:val="single" w:sz="4" w:space="0" w:color="auto"/>
              <w:bottom w:val="single" w:sz="4" w:space="0" w:color="auto"/>
            </w:tcBorders>
            <w:vAlign w:val="center"/>
          </w:tcPr>
          <w:p w14:paraId="36BA1F18" w14:textId="7423AB7C"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14.00</w:t>
            </w:r>
          </w:p>
        </w:tc>
      </w:tr>
      <w:tr w:rsidR="00710323" w:rsidRPr="000956EC" w14:paraId="3459551C" w14:textId="1D47BD6D" w:rsidTr="000956EC">
        <w:trPr>
          <w:gridAfter w:val="1"/>
          <w:wAfter w:w="18" w:type="dxa"/>
          <w:trHeight w:val="330"/>
        </w:trPr>
        <w:tc>
          <w:tcPr>
            <w:tcW w:w="1053" w:type="dxa"/>
            <w:tcBorders>
              <w:top w:val="nil"/>
              <w:bottom w:val="single" w:sz="4" w:space="0" w:color="auto"/>
              <w:right w:val="single" w:sz="4" w:space="0" w:color="auto"/>
            </w:tcBorders>
            <w:shd w:val="clear" w:color="auto" w:fill="auto"/>
            <w:vAlign w:val="center"/>
            <w:hideMark/>
          </w:tcPr>
          <w:p w14:paraId="11DC82EF" w14:textId="10585D9A" w:rsidR="00710323" w:rsidRPr="000956EC" w:rsidRDefault="00710323" w:rsidP="00710323">
            <w:pPr>
              <w:overflowPunct/>
              <w:autoSpaceDE/>
              <w:autoSpaceDN/>
              <w:adjustRightInd/>
              <w:spacing w:after="0"/>
              <w:textAlignment w:val="auto"/>
              <w:rPr>
                <w:rFonts w:ascii="Arial" w:hAnsi="Arial" w:cs="Arial"/>
                <w:b/>
                <w:color w:val="000000"/>
                <w:sz w:val="12"/>
                <w:szCs w:val="14"/>
                <w:lang w:val="en-US" w:eastAsia="en-US"/>
              </w:rPr>
            </w:pPr>
            <w:r w:rsidRPr="000956EC">
              <w:rPr>
                <w:rFonts w:ascii="Arial" w:hAnsi="Arial" w:cs="Arial"/>
                <w:b/>
                <w:color w:val="000000"/>
                <w:sz w:val="12"/>
                <w:szCs w:val="14"/>
                <w:lang w:val="en-US" w:eastAsia="en-US"/>
              </w:rPr>
              <w:t>Peak EIRP (nominal)</w:t>
            </w:r>
          </w:p>
        </w:tc>
        <w:tc>
          <w:tcPr>
            <w:tcW w:w="501" w:type="dxa"/>
            <w:tcBorders>
              <w:top w:val="nil"/>
              <w:left w:val="nil"/>
              <w:bottom w:val="single" w:sz="4" w:space="0" w:color="auto"/>
              <w:right w:val="single" w:sz="12" w:space="0" w:color="auto"/>
            </w:tcBorders>
            <w:shd w:val="clear" w:color="auto" w:fill="auto"/>
            <w:vAlign w:val="center"/>
            <w:hideMark/>
          </w:tcPr>
          <w:p w14:paraId="5397CB90" w14:textId="77777777" w:rsidR="00710323" w:rsidRPr="000956EC" w:rsidRDefault="00710323" w:rsidP="00710323">
            <w:pPr>
              <w:overflowPunct/>
              <w:autoSpaceDE/>
              <w:autoSpaceDN/>
              <w:adjustRightInd/>
              <w:spacing w:after="0"/>
              <w:textAlignment w:val="auto"/>
              <w:rPr>
                <w:rFonts w:ascii="Arial" w:hAnsi="Arial" w:cs="Arial"/>
                <w:b/>
                <w:color w:val="000000"/>
                <w:sz w:val="12"/>
                <w:szCs w:val="14"/>
                <w:lang w:val="en-US" w:eastAsia="en-US"/>
              </w:rPr>
            </w:pPr>
            <w:r w:rsidRPr="000956EC">
              <w:rPr>
                <w:rFonts w:ascii="Arial" w:hAnsi="Arial" w:cs="Arial"/>
                <w:b/>
                <w:color w:val="000000"/>
                <w:sz w:val="12"/>
                <w:szCs w:val="14"/>
                <w:lang w:val="en-US" w:eastAsia="en-US"/>
              </w:rPr>
              <w:t>dBm</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01692AC2" w14:textId="1F018A82"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color w:val="000000"/>
                <w:sz w:val="12"/>
                <w:szCs w:val="12"/>
                <w:lang w:val="en-US" w:eastAsia="en-US"/>
              </w:rPr>
              <w:t>24.05</w:t>
            </w:r>
          </w:p>
        </w:tc>
        <w:tc>
          <w:tcPr>
            <w:tcW w:w="631" w:type="dxa"/>
            <w:tcBorders>
              <w:top w:val="nil"/>
              <w:left w:val="nil"/>
              <w:bottom w:val="single" w:sz="4" w:space="0" w:color="auto"/>
              <w:right w:val="single" w:sz="12" w:space="0" w:color="auto"/>
            </w:tcBorders>
            <w:shd w:val="clear" w:color="auto" w:fill="auto"/>
            <w:noWrap/>
            <w:vAlign w:val="center"/>
            <w:hideMark/>
          </w:tcPr>
          <w:p w14:paraId="3A9A06FB" w14:textId="3AC8C242"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color w:val="000000"/>
                <w:sz w:val="12"/>
                <w:szCs w:val="12"/>
                <w:lang w:val="en-US" w:eastAsia="en-US"/>
              </w:rPr>
              <w:t>22.35</w:t>
            </w:r>
          </w:p>
        </w:tc>
        <w:tc>
          <w:tcPr>
            <w:tcW w:w="862" w:type="dxa"/>
            <w:tcBorders>
              <w:top w:val="single" w:sz="4" w:space="0" w:color="auto"/>
              <w:left w:val="single" w:sz="12" w:space="0" w:color="auto"/>
              <w:bottom w:val="single" w:sz="4" w:space="0" w:color="auto"/>
              <w:right w:val="single" w:sz="4" w:space="0" w:color="auto"/>
            </w:tcBorders>
            <w:vAlign w:val="center"/>
          </w:tcPr>
          <w:p w14:paraId="64D0DBBB" w14:textId="1CDE5097"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color w:val="000000"/>
                <w:sz w:val="12"/>
                <w:szCs w:val="12"/>
                <w:lang w:val="en-US" w:eastAsia="en-US"/>
              </w:rPr>
              <w:t> 25.25</w:t>
            </w:r>
          </w:p>
        </w:tc>
        <w:tc>
          <w:tcPr>
            <w:tcW w:w="634" w:type="dxa"/>
            <w:tcBorders>
              <w:top w:val="single" w:sz="4" w:space="0" w:color="auto"/>
              <w:left w:val="single" w:sz="4" w:space="0" w:color="auto"/>
              <w:bottom w:val="single" w:sz="4" w:space="0" w:color="auto"/>
              <w:right w:val="single" w:sz="12" w:space="0" w:color="auto"/>
            </w:tcBorders>
            <w:vAlign w:val="center"/>
          </w:tcPr>
          <w:p w14:paraId="256F3AA9" w14:textId="33F7E08A"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color w:val="000000"/>
                <w:sz w:val="12"/>
                <w:szCs w:val="12"/>
                <w:lang w:val="en-US" w:eastAsia="en-US"/>
              </w:rPr>
              <w:t> 22.5</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20A8EFF" w14:textId="34D3A794"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sz w:val="12"/>
                <w:szCs w:val="12"/>
              </w:rPr>
              <w:t>24.90</w:t>
            </w:r>
          </w:p>
        </w:tc>
        <w:tc>
          <w:tcPr>
            <w:tcW w:w="634" w:type="dxa"/>
            <w:tcBorders>
              <w:top w:val="nil"/>
              <w:left w:val="nil"/>
              <w:bottom w:val="single" w:sz="4" w:space="0" w:color="auto"/>
              <w:right w:val="single" w:sz="12" w:space="0" w:color="auto"/>
            </w:tcBorders>
            <w:shd w:val="clear" w:color="auto" w:fill="auto"/>
            <w:noWrap/>
            <w:vAlign w:val="center"/>
            <w:hideMark/>
          </w:tcPr>
          <w:p w14:paraId="2A1C9A57" w14:textId="7F2178D2"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sz w:val="12"/>
                <w:szCs w:val="12"/>
              </w:rPr>
              <w:t>23.90</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2659BCF2" w14:textId="65B8DE56"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sz w:val="12"/>
                <w:szCs w:val="12"/>
              </w:rPr>
              <w:t>26.15</w:t>
            </w:r>
          </w:p>
        </w:tc>
        <w:tc>
          <w:tcPr>
            <w:tcW w:w="630" w:type="dxa"/>
            <w:tcBorders>
              <w:top w:val="nil"/>
              <w:left w:val="nil"/>
              <w:bottom w:val="single" w:sz="4" w:space="0" w:color="auto"/>
              <w:right w:val="single" w:sz="12" w:space="0" w:color="auto"/>
            </w:tcBorders>
            <w:shd w:val="clear" w:color="auto" w:fill="auto"/>
            <w:noWrap/>
            <w:vAlign w:val="center"/>
            <w:hideMark/>
          </w:tcPr>
          <w:p w14:paraId="5BB25260" w14:textId="45274466"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sz w:val="12"/>
                <w:szCs w:val="12"/>
              </w:rPr>
              <w:t>23.65</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630F0B22" w14:textId="7255157A" w:rsidR="00710323" w:rsidRPr="000956EC" w:rsidRDefault="00710323" w:rsidP="00710323">
            <w:pPr>
              <w:overflowPunct/>
              <w:autoSpaceDE/>
              <w:autoSpaceDN/>
              <w:adjustRightInd/>
              <w:spacing w:after="0"/>
              <w:jc w:val="right"/>
              <w:textAlignment w:val="auto"/>
              <w:rPr>
                <w:rFonts w:ascii="Arial" w:hAnsi="Arial" w:cs="Arial"/>
                <w:b/>
                <w:sz w:val="12"/>
                <w:szCs w:val="12"/>
              </w:rPr>
            </w:pPr>
            <w:r w:rsidRPr="000956EC">
              <w:rPr>
                <w:rFonts w:ascii="Arial" w:hAnsi="Arial" w:cs="Arial" w:hint="eastAsia"/>
                <w:b/>
                <w:sz w:val="12"/>
                <w:szCs w:val="12"/>
              </w:rPr>
              <w:t>25.25</w:t>
            </w:r>
          </w:p>
        </w:tc>
        <w:tc>
          <w:tcPr>
            <w:tcW w:w="634" w:type="dxa"/>
            <w:tcBorders>
              <w:top w:val="nil"/>
              <w:left w:val="nil"/>
              <w:bottom w:val="single" w:sz="4" w:space="0" w:color="auto"/>
              <w:right w:val="single" w:sz="12" w:space="0" w:color="auto"/>
            </w:tcBorders>
            <w:shd w:val="clear" w:color="auto" w:fill="auto"/>
            <w:noWrap/>
            <w:vAlign w:val="center"/>
            <w:hideMark/>
          </w:tcPr>
          <w:p w14:paraId="532B0485" w14:textId="5796ECCB" w:rsidR="00710323" w:rsidRPr="000956EC" w:rsidRDefault="00710323" w:rsidP="00710323">
            <w:pPr>
              <w:overflowPunct/>
              <w:autoSpaceDE/>
              <w:autoSpaceDN/>
              <w:adjustRightInd/>
              <w:spacing w:after="0"/>
              <w:jc w:val="right"/>
              <w:textAlignment w:val="auto"/>
              <w:rPr>
                <w:rFonts w:ascii="Arial" w:hAnsi="Arial" w:cs="Arial"/>
                <w:b/>
                <w:sz w:val="12"/>
                <w:szCs w:val="12"/>
              </w:rPr>
            </w:pPr>
            <w:r w:rsidRPr="000956EC">
              <w:rPr>
                <w:rFonts w:ascii="Arial" w:hAnsi="Arial" w:cs="Arial" w:hint="eastAsia"/>
                <w:b/>
                <w:sz w:val="12"/>
                <w:szCs w:val="12"/>
              </w:rPr>
              <w:t>24.05</w:t>
            </w:r>
          </w:p>
        </w:tc>
        <w:tc>
          <w:tcPr>
            <w:tcW w:w="792" w:type="dxa"/>
            <w:tcBorders>
              <w:top w:val="single" w:sz="4" w:space="0" w:color="auto"/>
              <w:left w:val="single" w:sz="12" w:space="0" w:color="auto"/>
              <w:bottom w:val="single" w:sz="4" w:space="0" w:color="auto"/>
              <w:right w:val="single" w:sz="4" w:space="0" w:color="auto"/>
            </w:tcBorders>
            <w:vAlign w:val="center"/>
          </w:tcPr>
          <w:p w14:paraId="6DB14013" w14:textId="375CDEB8" w:rsidR="00710323" w:rsidRPr="000956EC" w:rsidRDefault="00710323" w:rsidP="00710323">
            <w:pPr>
              <w:overflowPunct/>
              <w:autoSpaceDE/>
              <w:autoSpaceDN/>
              <w:adjustRightInd/>
              <w:spacing w:after="0"/>
              <w:jc w:val="right"/>
              <w:textAlignment w:val="auto"/>
              <w:rPr>
                <w:rFonts w:ascii="Arial" w:hAnsi="Arial" w:cs="Arial"/>
                <w:b/>
                <w:sz w:val="12"/>
                <w:szCs w:val="12"/>
              </w:rPr>
            </w:pPr>
            <w:r w:rsidRPr="000956EC">
              <w:rPr>
                <w:rFonts w:ascii="Arial" w:hAnsi="Arial" w:cs="Arial"/>
                <w:b/>
                <w:sz w:val="12"/>
                <w:szCs w:val="12"/>
              </w:rPr>
              <w:t>26.55</w:t>
            </w:r>
          </w:p>
        </w:tc>
        <w:tc>
          <w:tcPr>
            <w:tcW w:w="634" w:type="dxa"/>
            <w:tcBorders>
              <w:top w:val="single" w:sz="4" w:space="0" w:color="auto"/>
              <w:left w:val="single" w:sz="4" w:space="0" w:color="auto"/>
              <w:bottom w:val="single" w:sz="4" w:space="0" w:color="auto"/>
              <w:right w:val="single" w:sz="12" w:space="0" w:color="auto"/>
            </w:tcBorders>
            <w:vAlign w:val="center"/>
          </w:tcPr>
          <w:p w14:paraId="23AD77AE" w14:textId="2404A5DC" w:rsidR="00710323" w:rsidRPr="000956EC" w:rsidRDefault="00710323" w:rsidP="00710323">
            <w:pPr>
              <w:overflowPunct/>
              <w:autoSpaceDE/>
              <w:autoSpaceDN/>
              <w:adjustRightInd/>
              <w:spacing w:after="0"/>
              <w:jc w:val="right"/>
              <w:textAlignment w:val="auto"/>
              <w:rPr>
                <w:rFonts w:ascii="Arial" w:hAnsi="Arial" w:cs="Arial"/>
                <w:b/>
                <w:sz w:val="12"/>
                <w:szCs w:val="12"/>
              </w:rPr>
            </w:pPr>
            <w:r w:rsidRPr="000956EC">
              <w:rPr>
                <w:rFonts w:ascii="Arial" w:hAnsi="Arial" w:cs="Arial"/>
                <w:b/>
                <w:sz w:val="12"/>
                <w:szCs w:val="12"/>
              </w:rPr>
              <w:t>25.55</w:t>
            </w:r>
          </w:p>
        </w:tc>
        <w:tc>
          <w:tcPr>
            <w:tcW w:w="792" w:type="dxa"/>
            <w:tcBorders>
              <w:top w:val="single" w:sz="4" w:space="0" w:color="auto"/>
              <w:left w:val="single" w:sz="12" w:space="0" w:color="auto"/>
              <w:bottom w:val="single" w:sz="4" w:space="0" w:color="auto"/>
              <w:right w:val="single" w:sz="4" w:space="0" w:color="auto"/>
            </w:tcBorders>
            <w:vAlign w:val="center"/>
          </w:tcPr>
          <w:p w14:paraId="7A3C2BB3" w14:textId="60F5D620" w:rsidR="00710323" w:rsidRPr="000956EC" w:rsidRDefault="00710323" w:rsidP="00DD1AC9">
            <w:pPr>
              <w:overflowPunct/>
              <w:autoSpaceDE/>
              <w:autoSpaceDN/>
              <w:adjustRightInd/>
              <w:spacing w:after="0"/>
              <w:jc w:val="right"/>
              <w:textAlignment w:val="auto"/>
              <w:rPr>
                <w:rFonts w:ascii="Arial" w:hAnsi="Arial" w:cs="Arial" w:hint="eastAsia"/>
                <w:b/>
                <w:sz w:val="12"/>
                <w:szCs w:val="12"/>
              </w:rPr>
            </w:pPr>
            <w:r w:rsidRPr="000956EC">
              <w:rPr>
                <w:rFonts w:ascii="Arial" w:hAnsi="Arial" w:cs="Arial"/>
                <w:b/>
                <w:color w:val="000000"/>
                <w:sz w:val="12"/>
                <w:szCs w:val="12"/>
                <w:lang w:val="en-US" w:eastAsia="en-US"/>
              </w:rPr>
              <w:t>2</w:t>
            </w:r>
            <w:r w:rsidR="00DD1AC9">
              <w:rPr>
                <w:rFonts w:ascii="Arial" w:hAnsi="Arial" w:cs="Arial"/>
                <w:b/>
                <w:color w:val="000000"/>
                <w:sz w:val="12"/>
                <w:szCs w:val="12"/>
                <w:lang w:val="en-US" w:eastAsia="en-US"/>
              </w:rPr>
              <w:t>3</w:t>
            </w:r>
            <w:r w:rsidRPr="000956EC">
              <w:rPr>
                <w:rFonts w:ascii="Arial" w:hAnsi="Arial" w:cs="Arial"/>
                <w:b/>
                <w:color w:val="000000"/>
                <w:sz w:val="12"/>
                <w:szCs w:val="12"/>
                <w:lang w:val="en-US" w:eastAsia="en-US"/>
              </w:rPr>
              <w:t>.</w:t>
            </w:r>
            <w:r w:rsidR="00DD1AC9">
              <w:rPr>
                <w:rFonts w:ascii="Arial" w:hAnsi="Arial" w:cs="Arial"/>
                <w:b/>
                <w:color w:val="000000"/>
                <w:sz w:val="12"/>
                <w:szCs w:val="12"/>
                <w:lang w:val="en-US" w:eastAsia="en-US"/>
              </w:rPr>
              <w:t>8</w:t>
            </w:r>
            <w:r w:rsidRPr="000956EC">
              <w:rPr>
                <w:rFonts w:ascii="Arial" w:hAnsi="Arial" w:cs="Arial"/>
                <w:b/>
                <w:color w:val="000000"/>
                <w:sz w:val="12"/>
                <w:szCs w:val="12"/>
                <w:lang w:val="en-US" w:eastAsia="en-US"/>
              </w:rPr>
              <w:t>5</w:t>
            </w:r>
          </w:p>
        </w:tc>
        <w:tc>
          <w:tcPr>
            <w:tcW w:w="634" w:type="dxa"/>
            <w:tcBorders>
              <w:top w:val="single" w:sz="4" w:space="0" w:color="auto"/>
              <w:left w:val="single" w:sz="4" w:space="0" w:color="auto"/>
              <w:bottom w:val="single" w:sz="4" w:space="0" w:color="auto"/>
            </w:tcBorders>
            <w:vAlign w:val="center"/>
          </w:tcPr>
          <w:p w14:paraId="643AD30A" w14:textId="40432A4A" w:rsidR="00710323" w:rsidRPr="000956EC" w:rsidRDefault="00710323" w:rsidP="00DD1AC9">
            <w:pPr>
              <w:overflowPunct/>
              <w:autoSpaceDE/>
              <w:autoSpaceDN/>
              <w:adjustRightInd/>
              <w:spacing w:after="0"/>
              <w:jc w:val="right"/>
              <w:textAlignment w:val="auto"/>
              <w:rPr>
                <w:rFonts w:ascii="Arial" w:hAnsi="Arial" w:cs="Arial" w:hint="eastAsia"/>
                <w:b/>
                <w:sz w:val="12"/>
                <w:szCs w:val="12"/>
              </w:rPr>
            </w:pPr>
            <w:r w:rsidRPr="000956EC">
              <w:rPr>
                <w:rFonts w:ascii="Arial" w:hAnsi="Arial" w:cs="Arial"/>
                <w:b/>
                <w:color w:val="000000"/>
                <w:sz w:val="12"/>
                <w:szCs w:val="12"/>
                <w:lang w:val="en-US" w:eastAsia="en-US"/>
              </w:rPr>
              <w:t>22.</w:t>
            </w:r>
            <w:r w:rsidR="00DD1AC9">
              <w:rPr>
                <w:rFonts w:ascii="Arial" w:hAnsi="Arial" w:cs="Arial"/>
                <w:b/>
                <w:color w:val="000000"/>
                <w:sz w:val="12"/>
                <w:szCs w:val="12"/>
                <w:lang w:val="en-US" w:eastAsia="en-US"/>
              </w:rPr>
              <w:t>1</w:t>
            </w:r>
            <w:r w:rsidRPr="000956EC">
              <w:rPr>
                <w:rFonts w:ascii="Arial" w:hAnsi="Arial" w:cs="Arial"/>
                <w:b/>
                <w:color w:val="000000"/>
                <w:sz w:val="12"/>
                <w:szCs w:val="12"/>
                <w:lang w:val="en-US" w:eastAsia="en-US"/>
              </w:rPr>
              <w:t>5</w:t>
            </w:r>
          </w:p>
        </w:tc>
      </w:tr>
      <w:tr w:rsidR="00710323" w:rsidRPr="000956EC" w14:paraId="7DC3511C" w14:textId="3FBF1BAC" w:rsidTr="000956EC">
        <w:trPr>
          <w:gridAfter w:val="1"/>
          <w:wAfter w:w="18" w:type="dxa"/>
          <w:trHeight w:val="330"/>
        </w:trPr>
        <w:tc>
          <w:tcPr>
            <w:tcW w:w="1053" w:type="dxa"/>
            <w:tcBorders>
              <w:top w:val="nil"/>
              <w:bottom w:val="single" w:sz="4" w:space="0" w:color="auto"/>
              <w:right w:val="single" w:sz="4" w:space="0" w:color="auto"/>
            </w:tcBorders>
            <w:shd w:val="clear" w:color="auto" w:fill="auto"/>
            <w:vAlign w:val="center"/>
            <w:hideMark/>
          </w:tcPr>
          <w:p w14:paraId="6222D123"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Tolerance</w:t>
            </w:r>
          </w:p>
        </w:tc>
        <w:tc>
          <w:tcPr>
            <w:tcW w:w="501" w:type="dxa"/>
            <w:tcBorders>
              <w:top w:val="nil"/>
              <w:left w:val="nil"/>
              <w:bottom w:val="single" w:sz="4" w:space="0" w:color="auto"/>
              <w:right w:val="single" w:sz="12" w:space="0" w:color="auto"/>
            </w:tcBorders>
            <w:shd w:val="clear" w:color="auto" w:fill="auto"/>
            <w:vAlign w:val="center"/>
            <w:hideMark/>
          </w:tcPr>
          <w:p w14:paraId="6CBE0DDE" w14:textId="77777777" w:rsidR="00710323" w:rsidRPr="000956EC" w:rsidRDefault="00710323" w:rsidP="00710323">
            <w:pPr>
              <w:overflowPunct/>
              <w:autoSpaceDE/>
              <w:autoSpaceDN/>
              <w:adjustRightInd/>
              <w:spacing w:after="0"/>
              <w:textAlignment w:val="auto"/>
              <w:rPr>
                <w:rFonts w:ascii="Arial" w:hAnsi="Arial" w:cs="Arial"/>
                <w:color w:val="000000"/>
                <w:sz w:val="12"/>
                <w:szCs w:val="14"/>
                <w:lang w:val="en-US" w:eastAsia="en-US"/>
              </w:rPr>
            </w:pPr>
            <w:r w:rsidRPr="000956EC">
              <w:rPr>
                <w:rFonts w:ascii="Arial" w:hAnsi="Arial" w:cs="Arial"/>
                <w:color w:val="000000"/>
                <w:sz w:val="12"/>
                <w:szCs w:val="14"/>
                <w:lang w:val="en-US" w:eastAsia="en-US"/>
              </w:rPr>
              <w:t>dB</w:t>
            </w:r>
          </w:p>
        </w:tc>
        <w:tc>
          <w:tcPr>
            <w:tcW w:w="785" w:type="dxa"/>
            <w:tcBorders>
              <w:top w:val="nil"/>
              <w:left w:val="single" w:sz="12" w:space="0" w:color="auto"/>
              <w:bottom w:val="single" w:sz="4" w:space="0" w:color="auto"/>
              <w:right w:val="single" w:sz="4" w:space="0" w:color="auto"/>
            </w:tcBorders>
            <w:shd w:val="clear" w:color="auto" w:fill="auto"/>
            <w:noWrap/>
            <w:vAlign w:val="center"/>
            <w:hideMark/>
          </w:tcPr>
          <w:p w14:paraId="5226FBE7" w14:textId="7777777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3.85</w:t>
            </w:r>
          </w:p>
        </w:tc>
        <w:tc>
          <w:tcPr>
            <w:tcW w:w="631" w:type="dxa"/>
            <w:tcBorders>
              <w:top w:val="nil"/>
              <w:left w:val="nil"/>
              <w:bottom w:val="single" w:sz="4" w:space="0" w:color="auto"/>
              <w:right w:val="single" w:sz="12" w:space="0" w:color="auto"/>
            </w:tcBorders>
            <w:shd w:val="clear" w:color="auto" w:fill="auto"/>
            <w:noWrap/>
            <w:vAlign w:val="center"/>
            <w:hideMark/>
          </w:tcPr>
          <w:p w14:paraId="3C9AA94E" w14:textId="7777777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3.95</w:t>
            </w:r>
          </w:p>
        </w:tc>
        <w:tc>
          <w:tcPr>
            <w:tcW w:w="862" w:type="dxa"/>
            <w:tcBorders>
              <w:top w:val="single" w:sz="4" w:space="0" w:color="auto"/>
              <w:left w:val="single" w:sz="12" w:space="0" w:color="auto"/>
              <w:bottom w:val="single" w:sz="4" w:space="0" w:color="auto"/>
              <w:right w:val="single" w:sz="4" w:space="0" w:color="auto"/>
            </w:tcBorders>
            <w:vAlign w:val="center"/>
          </w:tcPr>
          <w:p w14:paraId="474BD18D" w14:textId="5CE4FE96"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3.75</w:t>
            </w:r>
          </w:p>
        </w:tc>
        <w:tc>
          <w:tcPr>
            <w:tcW w:w="634" w:type="dxa"/>
            <w:tcBorders>
              <w:top w:val="single" w:sz="4" w:space="0" w:color="auto"/>
              <w:left w:val="single" w:sz="4" w:space="0" w:color="auto"/>
              <w:bottom w:val="single" w:sz="4" w:space="0" w:color="auto"/>
              <w:right w:val="single" w:sz="12" w:space="0" w:color="auto"/>
            </w:tcBorders>
            <w:vAlign w:val="center"/>
          </w:tcPr>
          <w:p w14:paraId="65C0EC68" w14:textId="398A0017"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color w:val="000000"/>
                <w:sz w:val="12"/>
                <w:szCs w:val="12"/>
                <w:lang w:val="en-US" w:eastAsia="en-US"/>
              </w:rPr>
              <w:t> 3.95</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145DEDC1" w14:textId="24FBEC3E"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3.85</w:t>
            </w:r>
          </w:p>
        </w:tc>
        <w:tc>
          <w:tcPr>
            <w:tcW w:w="634" w:type="dxa"/>
            <w:tcBorders>
              <w:top w:val="nil"/>
              <w:left w:val="nil"/>
              <w:bottom w:val="single" w:sz="4" w:space="0" w:color="auto"/>
              <w:right w:val="single" w:sz="12" w:space="0" w:color="auto"/>
            </w:tcBorders>
            <w:shd w:val="clear" w:color="auto" w:fill="auto"/>
            <w:noWrap/>
            <w:vAlign w:val="center"/>
            <w:hideMark/>
          </w:tcPr>
          <w:p w14:paraId="7276C579" w14:textId="5591CC73"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3.45</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5182B448" w14:textId="278A2318"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3.85</w:t>
            </w:r>
          </w:p>
        </w:tc>
        <w:tc>
          <w:tcPr>
            <w:tcW w:w="630" w:type="dxa"/>
            <w:tcBorders>
              <w:top w:val="nil"/>
              <w:left w:val="nil"/>
              <w:bottom w:val="single" w:sz="4" w:space="0" w:color="auto"/>
              <w:right w:val="single" w:sz="12" w:space="0" w:color="auto"/>
            </w:tcBorders>
            <w:shd w:val="clear" w:color="auto" w:fill="auto"/>
            <w:noWrap/>
            <w:vAlign w:val="center"/>
            <w:hideMark/>
          </w:tcPr>
          <w:p w14:paraId="1E4B1BC7" w14:textId="03FB3425" w:rsidR="00710323" w:rsidRPr="000956EC" w:rsidRDefault="00710323" w:rsidP="00710323">
            <w:pPr>
              <w:overflowPunct/>
              <w:autoSpaceDE/>
              <w:autoSpaceDN/>
              <w:adjustRightInd/>
              <w:spacing w:after="0"/>
              <w:jc w:val="right"/>
              <w:textAlignment w:val="auto"/>
              <w:rPr>
                <w:rFonts w:ascii="Arial" w:hAnsi="Arial" w:cs="Arial"/>
                <w:color w:val="000000"/>
                <w:sz w:val="12"/>
                <w:szCs w:val="12"/>
                <w:lang w:val="en-US" w:eastAsia="en-US"/>
              </w:rPr>
            </w:pPr>
            <w:r w:rsidRPr="000956EC">
              <w:rPr>
                <w:rFonts w:ascii="Arial" w:hAnsi="Arial" w:cs="Arial"/>
                <w:sz w:val="12"/>
                <w:szCs w:val="12"/>
              </w:rPr>
              <w:t>3.95</w:t>
            </w:r>
          </w:p>
        </w:tc>
        <w:tc>
          <w:tcPr>
            <w:tcW w:w="792" w:type="dxa"/>
            <w:tcBorders>
              <w:top w:val="nil"/>
              <w:left w:val="single" w:sz="12" w:space="0" w:color="auto"/>
              <w:bottom w:val="single" w:sz="4" w:space="0" w:color="auto"/>
              <w:right w:val="single" w:sz="4" w:space="0" w:color="auto"/>
            </w:tcBorders>
            <w:shd w:val="clear" w:color="auto" w:fill="auto"/>
            <w:noWrap/>
            <w:vAlign w:val="center"/>
            <w:hideMark/>
          </w:tcPr>
          <w:p w14:paraId="4275712B" w14:textId="2B2B10CC"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2.85</w:t>
            </w:r>
          </w:p>
        </w:tc>
        <w:tc>
          <w:tcPr>
            <w:tcW w:w="634" w:type="dxa"/>
            <w:tcBorders>
              <w:top w:val="nil"/>
              <w:left w:val="nil"/>
              <w:bottom w:val="single" w:sz="4" w:space="0" w:color="auto"/>
              <w:right w:val="single" w:sz="12" w:space="0" w:color="auto"/>
            </w:tcBorders>
            <w:shd w:val="clear" w:color="auto" w:fill="auto"/>
            <w:noWrap/>
            <w:vAlign w:val="center"/>
            <w:hideMark/>
          </w:tcPr>
          <w:p w14:paraId="2E834A3A" w14:textId="0798F792"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hint="eastAsia"/>
                <w:sz w:val="12"/>
                <w:szCs w:val="12"/>
              </w:rPr>
              <w:t>3.45</w:t>
            </w:r>
          </w:p>
        </w:tc>
        <w:tc>
          <w:tcPr>
            <w:tcW w:w="792" w:type="dxa"/>
            <w:tcBorders>
              <w:top w:val="single" w:sz="4" w:space="0" w:color="auto"/>
              <w:left w:val="single" w:sz="12" w:space="0" w:color="auto"/>
              <w:bottom w:val="single" w:sz="4" w:space="0" w:color="auto"/>
              <w:right w:val="single" w:sz="4" w:space="0" w:color="auto"/>
            </w:tcBorders>
            <w:vAlign w:val="center"/>
          </w:tcPr>
          <w:p w14:paraId="03467715" w14:textId="13B9A4A7"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2.85</w:t>
            </w:r>
          </w:p>
        </w:tc>
        <w:tc>
          <w:tcPr>
            <w:tcW w:w="634" w:type="dxa"/>
            <w:tcBorders>
              <w:top w:val="single" w:sz="4" w:space="0" w:color="auto"/>
              <w:left w:val="single" w:sz="4" w:space="0" w:color="auto"/>
              <w:bottom w:val="single" w:sz="4" w:space="0" w:color="auto"/>
              <w:right w:val="single" w:sz="12" w:space="0" w:color="auto"/>
            </w:tcBorders>
            <w:vAlign w:val="center"/>
          </w:tcPr>
          <w:p w14:paraId="1A0CE7D0" w14:textId="78BFCD08" w:rsidR="00710323" w:rsidRPr="000956EC" w:rsidRDefault="00710323" w:rsidP="00710323">
            <w:pPr>
              <w:overflowPunct/>
              <w:autoSpaceDE/>
              <w:autoSpaceDN/>
              <w:adjustRightInd/>
              <w:spacing w:after="0"/>
              <w:jc w:val="right"/>
              <w:textAlignment w:val="auto"/>
              <w:rPr>
                <w:rFonts w:ascii="Arial" w:hAnsi="Arial" w:cs="Arial"/>
                <w:sz w:val="12"/>
                <w:szCs w:val="12"/>
              </w:rPr>
            </w:pPr>
            <w:r w:rsidRPr="000956EC">
              <w:rPr>
                <w:rFonts w:ascii="Arial" w:hAnsi="Arial" w:cs="Arial"/>
                <w:sz w:val="12"/>
                <w:szCs w:val="12"/>
              </w:rPr>
              <w:t>3.45</w:t>
            </w:r>
          </w:p>
        </w:tc>
        <w:tc>
          <w:tcPr>
            <w:tcW w:w="792" w:type="dxa"/>
            <w:tcBorders>
              <w:top w:val="single" w:sz="4" w:space="0" w:color="auto"/>
              <w:left w:val="single" w:sz="12" w:space="0" w:color="auto"/>
              <w:bottom w:val="single" w:sz="4" w:space="0" w:color="auto"/>
              <w:right w:val="single" w:sz="4" w:space="0" w:color="auto"/>
            </w:tcBorders>
            <w:vAlign w:val="center"/>
          </w:tcPr>
          <w:p w14:paraId="590A3254" w14:textId="18CD260C"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3.85</w:t>
            </w:r>
          </w:p>
        </w:tc>
        <w:tc>
          <w:tcPr>
            <w:tcW w:w="634" w:type="dxa"/>
            <w:tcBorders>
              <w:top w:val="single" w:sz="4" w:space="0" w:color="auto"/>
              <w:left w:val="single" w:sz="4" w:space="0" w:color="auto"/>
              <w:bottom w:val="single" w:sz="4" w:space="0" w:color="auto"/>
            </w:tcBorders>
            <w:vAlign w:val="center"/>
          </w:tcPr>
          <w:p w14:paraId="219564B0" w14:textId="5FDEABBB" w:rsidR="00710323" w:rsidRPr="000956EC" w:rsidRDefault="00710323" w:rsidP="00710323">
            <w:pPr>
              <w:overflowPunct/>
              <w:autoSpaceDE/>
              <w:autoSpaceDN/>
              <w:adjustRightInd/>
              <w:spacing w:after="0"/>
              <w:jc w:val="right"/>
              <w:textAlignment w:val="auto"/>
              <w:rPr>
                <w:rFonts w:ascii="Arial" w:hAnsi="Arial" w:cs="Arial" w:hint="eastAsia"/>
                <w:sz w:val="12"/>
                <w:szCs w:val="12"/>
              </w:rPr>
            </w:pPr>
            <w:r w:rsidRPr="000956EC">
              <w:rPr>
                <w:rFonts w:ascii="Arial" w:hAnsi="Arial" w:cs="Arial"/>
                <w:color w:val="000000"/>
                <w:sz w:val="12"/>
                <w:szCs w:val="12"/>
                <w:lang w:val="en-US" w:eastAsia="en-US"/>
              </w:rPr>
              <w:t>3.95</w:t>
            </w:r>
          </w:p>
        </w:tc>
      </w:tr>
      <w:tr w:rsidR="00710323" w:rsidRPr="000956EC" w14:paraId="15C47FCC" w14:textId="7B44672F" w:rsidTr="000956EC">
        <w:trPr>
          <w:gridAfter w:val="1"/>
          <w:wAfter w:w="18" w:type="dxa"/>
          <w:trHeight w:val="300"/>
        </w:trPr>
        <w:tc>
          <w:tcPr>
            <w:tcW w:w="1053" w:type="dxa"/>
            <w:tcBorders>
              <w:top w:val="single" w:sz="4" w:space="0" w:color="auto"/>
              <w:bottom w:val="single" w:sz="2" w:space="0" w:color="auto"/>
              <w:right w:val="single" w:sz="4" w:space="0" w:color="auto"/>
            </w:tcBorders>
            <w:shd w:val="clear" w:color="auto" w:fill="auto"/>
            <w:vAlign w:val="center"/>
            <w:hideMark/>
          </w:tcPr>
          <w:p w14:paraId="490B884C" w14:textId="249D8627" w:rsidR="00710323" w:rsidRPr="000956EC" w:rsidRDefault="00710323" w:rsidP="00710323">
            <w:pPr>
              <w:overflowPunct/>
              <w:autoSpaceDE/>
              <w:autoSpaceDN/>
              <w:adjustRightInd/>
              <w:spacing w:after="0"/>
              <w:textAlignment w:val="auto"/>
              <w:rPr>
                <w:rFonts w:ascii="Arial" w:hAnsi="Arial" w:cs="Arial"/>
                <w:b/>
                <w:bCs/>
                <w:color w:val="000000"/>
                <w:sz w:val="12"/>
                <w:szCs w:val="14"/>
                <w:lang w:val="en-US" w:eastAsia="en-US"/>
              </w:rPr>
            </w:pPr>
            <w:r w:rsidRPr="000956EC">
              <w:rPr>
                <w:rFonts w:ascii="Arial" w:hAnsi="Arial" w:cs="Arial"/>
                <w:b/>
                <w:bCs/>
                <w:color w:val="000000"/>
                <w:sz w:val="12"/>
                <w:szCs w:val="14"/>
                <w:lang w:val="en-US" w:eastAsia="en-US"/>
              </w:rPr>
              <w:t>Peak EIRP (minimum)</w:t>
            </w:r>
          </w:p>
        </w:tc>
        <w:tc>
          <w:tcPr>
            <w:tcW w:w="501" w:type="dxa"/>
            <w:tcBorders>
              <w:top w:val="single" w:sz="4" w:space="0" w:color="auto"/>
              <w:left w:val="nil"/>
              <w:bottom w:val="single" w:sz="2" w:space="0" w:color="auto"/>
              <w:right w:val="single" w:sz="12" w:space="0" w:color="auto"/>
            </w:tcBorders>
            <w:shd w:val="clear" w:color="auto" w:fill="auto"/>
            <w:vAlign w:val="center"/>
            <w:hideMark/>
          </w:tcPr>
          <w:p w14:paraId="5A789F74" w14:textId="77777777" w:rsidR="00710323" w:rsidRPr="000956EC" w:rsidRDefault="00710323" w:rsidP="00710323">
            <w:pPr>
              <w:overflowPunct/>
              <w:autoSpaceDE/>
              <w:autoSpaceDN/>
              <w:adjustRightInd/>
              <w:spacing w:after="0"/>
              <w:textAlignment w:val="auto"/>
              <w:rPr>
                <w:rFonts w:ascii="Arial" w:hAnsi="Arial" w:cs="Arial"/>
                <w:b/>
                <w:bCs/>
                <w:color w:val="000000"/>
                <w:sz w:val="12"/>
                <w:szCs w:val="14"/>
                <w:lang w:val="en-US" w:eastAsia="en-US"/>
              </w:rPr>
            </w:pPr>
            <w:r w:rsidRPr="000956EC">
              <w:rPr>
                <w:rFonts w:ascii="Arial" w:hAnsi="Arial" w:cs="Arial"/>
                <w:b/>
                <w:bCs/>
                <w:color w:val="000000"/>
                <w:sz w:val="12"/>
                <w:szCs w:val="14"/>
                <w:lang w:val="en-US" w:eastAsia="en-US"/>
              </w:rPr>
              <w:t>dBm</w:t>
            </w:r>
          </w:p>
        </w:tc>
        <w:tc>
          <w:tcPr>
            <w:tcW w:w="785" w:type="dxa"/>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608A08CB" w14:textId="025F555C"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color w:val="000000"/>
                <w:sz w:val="12"/>
                <w:szCs w:val="12"/>
                <w:lang w:val="en-US" w:eastAsia="en-US"/>
              </w:rPr>
              <w:t>20.20</w:t>
            </w:r>
          </w:p>
        </w:tc>
        <w:tc>
          <w:tcPr>
            <w:tcW w:w="631" w:type="dxa"/>
            <w:tcBorders>
              <w:top w:val="single" w:sz="4" w:space="0" w:color="auto"/>
              <w:left w:val="nil"/>
              <w:bottom w:val="single" w:sz="2" w:space="0" w:color="auto"/>
              <w:right w:val="single" w:sz="12" w:space="0" w:color="auto"/>
            </w:tcBorders>
            <w:shd w:val="clear" w:color="auto" w:fill="auto"/>
            <w:noWrap/>
            <w:vAlign w:val="center"/>
            <w:hideMark/>
          </w:tcPr>
          <w:p w14:paraId="2A8043EA" w14:textId="3F24B977"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color w:val="000000"/>
                <w:sz w:val="12"/>
                <w:szCs w:val="12"/>
                <w:lang w:val="en-US" w:eastAsia="en-US"/>
              </w:rPr>
              <w:t>18.40</w:t>
            </w:r>
          </w:p>
        </w:tc>
        <w:tc>
          <w:tcPr>
            <w:tcW w:w="862" w:type="dxa"/>
            <w:tcBorders>
              <w:top w:val="single" w:sz="4" w:space="0" w:color="auto"/>
              <w:left w:val="single" w:sz="12" w:space="0" w:color="auto"/>
              <w:bottom w:val="single" w:sz="2" w:space="0" w:color="auto"/>
              <w:right w:val="single" w:sz="4" w:space="0" w:color="auto"/>
            </w:tcBorders>
            <w:vAlign w:val="center"/>
          </w:tcPr>
          <w:p w14:paraId="10CE9EC1" w14:textId="6AC74A27"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color w:val="000000"/>
                <w:sz w:val="12"/>
                <w:szCs w:val="12"/>
                <w:lang w:val="en-US" w:eastAsia="en-US"/>
              </w:rPr>
              <w:t> 21.50</w:t>
            </w:r>
          </w:p>
        </w:tc>
        <w:tc>
          <w:tcPr>
            <w:tcW w:w="634" w:type="dxa"/>
            <w:tcBorders>
              <w:top w:val="single" w:sz="4" w:space="0" w:color="auto"/>
              <w:left w:val="single" w:sz="4" w:space="0" w:color="auto"/>
              <w:bottom w:val="single" w:sz="2" w:space="0" w:color="auto"/>
              <w:right w:val="single" w:sz="12" w:space="0" w:color="auto"/>
            </w:tcBorders>
            <w:vAlign w:val="center"/>
          </w:tcPr>
          <w:p w14:paraId="144EFCF0" w14:textId="68C8BB28"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color w:val="000000"/>
                <w:sz w:val="12"/>
                <w:szCs w:val="12"/>
                <w:lang w:val="en-US" w:eastAsia="en-US"/>
              </w:rPr>
              <w:t> 18.55</w:t>
            </w:r>
          </w:p>
        </w:tc>
        <w:tc>
          <w:tcPr>
            <w:tcW w:w="792" w:type="dxa"/>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15BA3EA1" w14:textId="73F7840D"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sz w:val="12"/>
                <w:szCs w:val="12"/>
              </w:rPr>
              <w:t>21.05</w:t>
            </w:r>
          </w:p>
        </w:tc>
        <w:tc>
          <w:tcPr>
            <w:tcW w:w="634" w:type="dxa"/>
            <w:tcBorders>
              <w:top w:val="single" w:sz="4" w:space="0" w:color="auto"/>
              <w:left w:val="nil"/>
              <w:bottom w:val="single" w:sz="2" w:space="0" w:color="auto"/>
              <w:right w:val="single" w:sz="12" w:space="0" w:color="auto"/>
            </w:tcBorders>
            <w:shd w:val="clear" w:color="auto" w:fill="auto"/>
            <w:noWrap/>
            <w:vAlign w:val="center"/>
            <w:hideMark/>
          </w:tcPr>
          <w:p w14:paraId="25015911" w14:textId="69781055"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sz w:val="12"/>
                <w:szCs w:val="12"/>
              </w:rPr>
              <w:t>20.45</w:t>
            </w:r>
          </w:p>
        </w:tc>
        <w:tc>
          <w:tcPr>
            <w:tcW w:w="792" w:type="dxa"/>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3FC2ABF4" w14:textId="06F7EACE"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sz w:val="12"/>
                <w:szCs w:val="12"/>
              </w:rPr>
              <w:t>22.30</w:t>
            </w:r>
          </w:p>
        </w:tc>
        <w:tc>
          <w:tcPr>
            <w:tcW w:w="630" w:type="dxa"/>
            <w:tcBorders>
              <w:top w:val="single" w:sz="4" w:space="0" w:color="auto"/>
              <w:left w:val="nil"/>
              <w:bottom w:val="single" w:sz="2" w:space="0" w:color="auto"/>
              <w:right w:val="single" w:sz="12" w:space="0" w:color="auto"/>
            </w:tcBorders>
            <w:shd w:val="clear" w:color="auto" w:fill="auto"/>
            <w:noWrap/>
            <w:vAlign w:val="center"/>
            <w:hideMark/>
          </w:tcPr>
          <w:p w14:paraId="2A4B941F" w14:textId="0A7FB607" w:rsidR="00710323" w:rsidRPr="000956EC" w:rsidRDefault="00710323" w:rsidP="00710323">
            <w:pPr>
              <w:overflowPunct/>
              <w:autoSpaceDE/>
              <w:autoSpaceDN/>
              <w:adjustRightInd/>
              <w:spacing w:after="0"/>
              <w:jc w:val="right"/>
              <w:textAlignment w:val="auto"/>
              <w:rPr>
                <w:rFonts w:ascii="Arial" w:hAnsi="Arial" w:cs="Arial"/>
                <w:b/>
                <w:color w:val="000000"/>
                <w:sz w:val="12"/>
                <w:szCs w:val="12"/>
                <w:lang w:val="en-US" w:eastAsia="en-US"/>
              </w:rPr>
            </w:pPr>
            <w:r w:rsidRPr="000956EC">
              <w:rPr>
                <w:rFonts w:ascii="Arial" w:hAnsi="Arial" w:cs="Arial"/>
                <w:b/>
                <w:sz w:val="12"/>
                <w:szCs w:val="12"/>
              </w:rPr>
              <w:t>19.70</w:t>
            </w:r>
          </w:p>
        </w:tc>
        <w:tc>
          <w:tcPr>
            <w:tcW w:w="792" w:type="dxa"/>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307E32FE" w14:textId="47652964" w:rsidR="00710323" w:rsidRPr="000956EC" w:rsidRDefault="00710323" w:rsidP="00710323">
            <w:pPr>
              <w:overflowPunct/>
              <w:autoSpaceDE/>
              <w:autoSpaceDN/>
              <w:adjustRightInd/>
              <w:spacing w:after="0"/>
              <w:jc w:val="right"/>
              <w:textAlignment w:val="auto"/>
              <w:rPr>
                <w:rFonts w:ascii="Arial" w:hAnsi="Arial" w:cs="Arial"/>
                <w:b/>
                <w:sz w:val="12"/>
                <w:szCs w:val="12"/>
              </w:rPr>
            </w:pPr>
            <w:r w:rsidRPr="000956EC">
              <w:rPr>
                <w:rFonts w:ascii="Arial" w:hAnsi="Arial" w:cs="Arial" w:hint="eastAsia"/>
                <w:b/>
                <w:sz w:val="12"/>
                <w:szCs w:val="12"/>
              </w:rPr>
              <w:t>22.40</w:t>
            </w:r>
          </w:p>
        </w:tc>
        <w:tc>
          <w:tcPr>
            <w:tcW w:w="634" w:type="dxa"/>
            <w:tcBorders>
              <w:top w:val="single" w:sz="4" w:space="0" w:color="auto"/>
              <w:left w:val="nil"/>
              <w:bottom w:val="single" w:sz="2" w:space="0" w:color="auto"/>
              <w:right w:val="single" w:sz="12" w:space="0" w:color="auto"/>
            </w:tcBorders>
            <w:shd w:val="clear" w:color="auto" w:fill="auto"/>
            <w:noWrap/>
            <w:vAlign w:val="center"/>
            <w:hideMark/>
          </w:tcPr>
          <w:p w14:paraId="747709EB" w14:textId="6C63BE3F" w:rsidR="00710323" w:rsidRPr="000956EC" w:rsidRDefault="00710323" w:rsidP="00710323">
            <w:pPr>
              <w:overflowPunct/>
              <w:autoSpaceDE/>
              <w:autoSpaceDN/>
              <w:adjustRightInd/>
              <w:spacing w:after="0"/>
              <w:jc w:val="right"/>
              <w:textAlignment w:val="auto"/>
              <w:rPr>
                <w:rFonts w:ascii="Arial" w:hAnsi="Arial" w:cs="Arial"/>
                <w:b/>
                <w:sz w:val="12"/>
                <w:szCs w:val="12"/>
              </w:rPr>
            </w:pPr>
            <w:r w:rsidRPr="000956EC">
              <w:rPr>
                <w:rFonts w:ascii="Arial" w:hAnsi="Arial" w:cs="Arial" w:hint="eastAsia"/>
                <w:b/>
                <w:sz w:val="12"/>
                <w:szCs w:val="12"/>
              </w:rPr>
              <w:t>20.60</w:t>
            </w:r>
          </w:p>
        </w:tc>
        <w:tc>
          <w:tcPr>
            <w:tcW w:w="792" w:type="dxa"/>
            <w:tcBorders>
              <w:top w:val="single" w:sz="4" w:space="0" w:color="auto"/>
              <w:left w:val="single" w:sz="12" w:space="0" w:color="auto"/>
              <w:bottom w:val="single" w:sz="2" w:space="0" w:color="auto"/>
              <w:right w:val="single" w:sz="4" w:space="0" w:color="auto"/>
            </w:tcBorders>
            <w:vAlign w:val="center"/>
          </w:tcPr>
          <w:p w14:paraId="2D7327C0" w14:textId="666363DA" w:rsidR="00710323" w:rsidRPr="000956EC" w:rsidRDefault="00710323" w:rsidP="00710323">
            <w:pPr>
              <w:overflowPunct/>
              <w:autoSpaceDE/>
              <w:autoSpaceDN/>
              <w:adjustRightInd/>
              <w:spacing w:after="0"/>
              <w:jc w:val="right"/>
              <w:textAlignment w:val="auto"/>
              <w:rPr>
                <w:rFonts w:ascii="Arial" w:hAnsi="Arial" w:cs="Arial"/>
                <w:b/>
                <w:sz w:val="12"/>
                <w:szCs w:val="12"/>
              </w:rPr>
            </w:pPr>
            <w:r w:rsidRPr="000956EC">
              <w:rPr>
                <w:rFonts w:ascii="Arial" w:hAnsi="Arial" w:cs="Arial"/>
                <w:b/>
                <w:sz w:val="12"/>
                <w:szCs w:val="12"/>
              </w:rPr>
              <w:t>23.70</w:t>
            </w:r>
          </w:p>
        </w:tc>
        <w:tc>
          <w:tcPr>
            <w:tcW w:w="634" w:type="dxa"/>
            <w:tcBorders>
              <w:top w:val="single" w:sz="4" w:space="0" w:color="auto"/>
              <w:left w:val="single" w:sz="4" w:space="0" w:color="auto"/>
              <w:bottom w:val="single" w:sz="2" w:space="0" w:color="auto"/>
              <w:right w:val="single" w:sz="12" w:space="0" w:color="auto"/>
            </w:tcBorders>
            <w:vAlign w:val="center"/>
          </w:tcPr>
          <w:p w14:paraId="5525C0DE" w14:textId="5F4CA1BB" w:rsidR="00710323" w:rsidRPr="000956EC" w:rsidRDefault="00710323" w:rsidP="00710323">
            <w:pPr>
              <w:overflowPunct/>
              <w:autoSpaceDE/>
              <w:autoSpaceDN/>
              <w:adjustRightInd/>
              <w:spacing w:after="0"/>
              <w:jc w:val="right"/>
              <w:textAlignment w:val="auto"/>
              <w:rPr>
                <w:rFonts w:ascii="Arial" w:hAnsi="Arial" w:cs="Arial"/>
                <w:b/>
                <w:sz w:val="12"/>
                <w:szCs w:val="12"/>
              </w:rPr>
            </w:pPr>
            <w:r w:rsidRPr="000956EC">
              <w:rPr>
                <w:rFonts w:ascii="Arial" w:hAnsi="Arial" w:cs="Arial"/>
                <w:b/>
                <w:sz w:val="12"/>
                <w:szCs w:val="12"/>
              </w:rPr>
              <w:t>22.10</w:t>
            </w:r>
          </w:p>
        </w:tc>
        <w:tc>
          <w:tcPr>
            <w:tcW w:w="792" w:type="dxa"/>
            <w:tcBorders>
              <w:top w:val="single" w:sz="4" w:space="0" w:color="auto"/>
              <w:left w:val="single" w:sz="12" w:space="0" w:color="auto"/>
              <w:bottom w:val="single" w:sz="2" w:space="0" w:color="auto"/>
              <w:right w:val="single" w:sz="4" w:space="0" w:color="auto"/>
            </w:tcBorders>
            <w:vAlign w:val="center"/>
          </w:tcPr>
          <w:p w14:paraId="203747F2" w14:textId="59CC151B" w:rsidR="00710323" w:rsidRPr="000956EC" w:rsidRDefault="00710323" w:rsidP="00DD1AC9">
            <w:pPr>
              <w:overflowPunct/>
              <w:autoSpaceDE/>
              <w:autoSpaceDN/>
              <w:adjustRightInd/>
              <w:spacing w:after="0"/>
              <w:jc w:val="right"/>
              <w:textAlignment w:val="auto"/>
              <w:rPr>
                <w:rFonts w:ascii="Arial" w:hAnsi="Arial" w:cs="Arial" w:hint="eastAsia"/>
                <w:b/>
                <w:sz w:val="12"/>
                <w:szCs w:val="12"/>
              </w:rPr>
            </w:pPr>
            <w:r w:rsidRPr="000956EC">
              <w:rPr>
                <w:rFonts w:ascii="Arial" w:hAnsi="Arial" w:cs="Arial"/>
                <w:b/>
                <w:color w:val="000000"/>
                <w:sz w:val="12"/>
                <w:szCs w:val="12"/>
                <w:lang w:val="en-US" w:eastAsia="en-US"/>
              </w:rPr>
              <w:t>20.</w:t>
            </w:r>
            <w:r w:rsidR="00DD1AC9">
              <w:rPr>
                <w:rFonts w:ascii="Arial" w:hAnsi="Arial" w:cs="Arial"/>
                <w:b/>
                <w:color w:val="000000"/>
                <w:sz w:val="12"/>
                <w:szCs w:val="12"/>
                <w:lang w:val="en-US" w:eastAsia="en-US"/>
              </w:rPr>
              <w:t>0</w:t>
            </w:r>
            <w:r w:rsidRPr="000956EC">
              <w:rPr>
                <w:rFonts w:ascii="Arial" w:hAnsi="Arial" w:cs="Arial"/>
                <w:b/>
                <w:color w:val="000000"/>
                <w:sz w:val="12"/>
                <w:szCs w:val="12"/>
                <w:lang w:val="en-US" w:eastAsia="en-US"/>
              </w:rPr>
              <w:t>0</w:t>
            </w:r>
          </w:p>
        </w:tc>
        <w:tc>
          <w:tcPr>
            <w:tcW w:w="634" w:type="dxa"/>
            <w:tcBorders>
              <w:top w:val="single" w:sz="4" w:space="0" w:color="auto"/>
              <w:left w:val="single" w:sz="4" w:space="0" w:color="auto"/>
              <w:bottom w:val="single" w:sz="2" w:space="0" w:color="auto"/>
            </w:tcBorders>
            <w:vAlign w:val="center"/>
          </w:tcPr>
          <w:p w14:paraId="0A377F92" w14:textId="61C58E8A" w:rsidR="00710323" w:rsidRPr="000956EC" w:rsidRDefault="00710323" w:rsidP="00DD1AC9">
            <w:pPr>
              <w:overflowPunct/>
              <w:autoSpaceDE/>
              <w:autoSpaceDN/>
              <w:adjustRightInd/>
              <w:spacing w:after="0"/>
              <w:jc w:val="right"/>
              <w:textAlignment w:val="auto"/>
              <w:rPr>
                <w:rFonts w:ascii="Arial" w:hAnsi="Arial" w:cs="Arial" w:hint="eastAsia"/>
                <w:b/>
                <w:sz w:val="12"/>
                <w:szCs w:val="12"/>
              </w:rPr>
            </w:pPr>
            <w:r w:rsidRPr="000956EC">
              <w:rPr>
                <w:rFonts w:ascii="Arial" w:hAnsi="Arial" w:cs="Arial"/>
                <w:b/>
                <w:color w:val="000000"/>
                <w:sz w:val="12"/>
                <w:szCs w:val="12"/>
                <w:lang w:val="en-US" w:eastAsia="en-US"/>
              </w:rPr>
              <w:t>18.</w:t>
            </w:r>
            <w:r w:rsidR="00DD1AC9">
              <w:rPr>
                <w:rFonts w:ascii="Arial" w:hAnsi="Arial" w:cs="Arial"/>
                <w:b/>
                <w:color w:val="000000"/>
                <w:sz w:val="12"/>
                <w:szCs w:val="12"/>
                <w:lang w:val="en-US" w:eastAsia="en-US"/>
              </w:rPr>
              <w:t>2</w:t>
            </w:r>
            <w:r w:rsidRPr="000956EC">
              <w:rPr>
                <w:rFonts w:ascii="Arial" w:hAnsi="Arial" w:cs="Arial"/>
                <w:b/>
                <w:color w:val="000000"/>
                <w:sz w:val="12"/>
                <w:szCs w:val="12"/>
                <w:lang w:val="en-US" w:eastAsia="en-US"/>
              </w:rPr>
              <w:t>0</w:t>
            </w:r>
          </w:p>
        </w:tc>
      </w:tr>
      <w:tr w:rsidR="000956EC" w:rsidRPr="008B08C6" w14:paraId="53996C55" w14:textId="35C8AC52" w:rsidTr="00344838">
        <w:trPr>
          <w:trHeight w:val="516"/>
        </w:trPr>
        <w:tc>
          <w:tcPr>
            <w:tcW w:w="11610" w:type="dxa"/>
            <w:gridSpan w:val="17"/>
            <w:tcBorders>
              <w:top w:val="single" w:sz="12" w:space="0" w:color="auto"/>
              <w:bottom w:val="single" w:sz="12" w:space="0" w:color="auto"/>
            </w:tcBorders>
            <w:vAlign w:val="center"/>
          </w:tcPr>
          <w:p w14:paraId="6E8788C6" w14:textId="4D998DBB" w:rsidR="000956EC" w:rsidRPr="002356B0" w:rsidRDefault="000956EC" w:rsidP="00344838">
            <w:pPr>
              <w:overflowPunct/>
              <w:autoSpaceDE/>
              <w:autoSpaceDN/>
              <w:adjustRightInd/>
              <w:spacing w:after="0"/>
              <w:textAlignment w:val="auto"/>
              <w:rPr>
                <w:rFonts w:ascii="Arial" w:hAnsi="Arial" w:cs="Arial"/>
                <w:i/>
                <w:color w:val="000000"/>
                <w:sz w:val="16"/>
                <w:szCs w:val="16"/>
                <w:lang w:val="en-US" w:eastAsia="en-US"/>
              </w:rPr>
            </w:pPr>
            <w:r w:rsidRPr="002356B0">
              <w:rPr>
                <w:rFonts w:ascii="Arial" w:hAnsi="Arial" w:cs="Arial"/>
                <w:i/>
                <w:color w:val="000000"/>
                <w:sz w:val="16"/>
                <w:szCs w:val="16"/>
                <w:lang w:val="en-US" w:eastAsia="en-US"/>
              </w:rPr>
              <w:t>NOTE 1: We encourage companies to provide implementation losses and P1d numbers for nominal and worst cases to facilitate the analysis of nominal and minimum definitions of max EIRP; the current RAN4 agreement is to define power class as the minimum o</w:t>
            </w:r>
            <w:r w:rsidR="00BF30B8">
              <w:rPr>
                <w:rFonts w:ascii="Arial" w:hAnsi="Arial" w:cs="Arial"/>
                <w:i/>
                <w:color w:val="000000"/>
                <w:sz w:val="16"/>
                <w:szCs w:val="16"/>
                <w:lang w:val="en-US" w:eastAsia="en-US"/>
              </w:rPr>
              <w:t>f the max EIRP without tolerance</w:t>
            </w:r>
            <w:bookmarkStart w:id="0" w:name="_GoBack"/>
            <w:bookmarkEnd w:id="0"/>
          </w:p>
        </w:tc>
      </w:tr>
    </w:tbl>
    <w:p w14:paraId="4643DB03" w14:textId="77777777" w:rsidR="00B369B0" w:rsidRDefault="00B369B0" w:rsidP="00F90EDB">
      <w:pPr>
        <w:spacing w:after="0"/>
        <w:rPr>
          <w:rFonts w:eastAsia="Batang"/>
        </w:rPr>
      </w:pPr>
    </w:p>
    <w:p w14:paraId="3435EA2B" w14:textId="77777777" w:rsidR="00B369B0" w:rsidRDefault="00B369B0" w:rsidP="00F90EDB">
      <w:pPr>
        <w:spacing w:after="0"/>
        <w:rPr>
          <w:rFonts w:eastAsia="Batang"/>
        </w:rPr>
      </w:pPr>
    </w:p>
    <w:p w14:paraId="4AA6E9BF" w14:textId="59106639" w:rsidR="00F0600A" w:rsidRDefault="003C4EA3" w:rsidP="00F90EDB">
      <w:pPr>
        <w:spacing w:after="0"/>
        <w:rPr>
          <w:rFonts w:eastAsia="Batang"/>
        </w:rPr>
      </w:pPr>
      <w:r>
        <w:rPr>
          <w:rFonts w:eastAsia="Batang"/>
        </w:rPr>
        <w:t>During previous meetings questions have been raised about the reference waveform used by different companies for the power class derivation.  It is desired to align on this in order to define a clear requirement.</w:t>
      </w:r>
    </w:p>
    <w:p w14:paraId="521189FA" w14:textId="77777777" w:rsidR="003C4EA3" w:rsidRDefault="003C4EA3" w:rsidP="00B369B0">
      <w:pPr>
        <w:rPr>
          <w:rFonts w:eastAsia="Batang"/>
        </w:rPr>
      </w:pPr>
    </w:p>
    <w:p w14:paraId="05E729D2" w14:textId="3C61E06A" w:rsidR="003C4EA3" w:rsidRDefault="003C4EA3" w:rsidP="003C4EA3">
      <w:pPr>
        <w:spacing w:after="0"/>
        <w:rPr>
          <w:rFonts w:eastAsia="Batang"/>
        </w:rPr>
      </w:pPr>
      <w:r w:rsidRPr="00552995">
        <w:rPr>
          <w:rFonts w:eastAsia="Batang"/>
          <w:b/>
        </w:rPr>
        <w:t>Proposal 1</w:t>
      </w:r>
      <w:r>
        <w:rPr>
          <w:rFonts w:eastAsia="Batang"/>
        </w:rPr>
        <w:t xml:space="preserve">: The maximum EIRP value for the UE power class is defined for the DFT-s-OFDM </w:t>
      </w:r>
      <w:r w:rsidR="007F5803">
        <w:rPr>
          <w:rFonts w:eastAsia="Batang"/>
        </w:rPr>
        <w:t xml:space="preserve">full allocation </w:t>
      </w:r>
      <w:r>
        <w:rPr>
          <w:rFonts w:eastAsia="Batang"/>
        </w:rPr>
        <w:t>waveform with the QPSK modulation and MPR=0</w:t>
      </w:r>
      <w:r w:rsidR="00F90EDB">
        <w:rPr>
          <w:rFonts w:eastAsia="Batang"/>
        </w:rPr>
        <w:t>,</w:t>
      </w:r>
      <w:r>
        <w:rPr>
          <w:rFonts w:eastAsia="Batang"/>
        </w:rPr>
        <w:t xml:space="preserve"> measured over 1 ms.</w:t>
      </w:r>
    </w:p>
    <w:p w14:paraId="103C0348" w14:textId="77777777" w:rsidR="003C4EA3" w:rsidRDefault="003C4EA3" w:rsidP="0009270A">
      <w:pPr>
        <w:spacing w:before="120" w:after="0"/>
        <w:rPr>
          <w:rFonts w:eastAsia="Batang"/>
        </w:rPr>
      </w:pPr>
    </w:p>
    <w:p w14:paraId="69569827" w14:textId="35D4E50E" w:rsidR="003C4EA3" w:rsidRDefault="003C4EA3" w:rsidP="003C4EA3">
      <w:pPr>
        <w:spacing w:after="0"/>
        <w:rPr>
          <w:rFonts w:eastAsia="Batang"/>
        </w:rPr>
      </w:pPr>
      <w:r>
        <w:rPr>
          <w:rFonts w:eastAsia="Batang"/>
        </w:rPr>
        <w:t xml:space="preserve">It is understood that MPR = 0 for the DFT-s-OFDM </w:t>
      </w:r>
      <w:r w:rsidR="007F5803">
        <w:rPr>
          <w:rFonts w:eastAsia="Batang"/>
        </w:rPr>
        <w:t xml:space="preserve">full allocation </w:t>
      </w:r>
      <w:r>
        <w:rPr>
          <w:rFonts w:eastAsia="Batang"/>
        </w:rPr>
        <w:t xml:space="preserve">waveform with the QPSK modulation for the PA output power provided by companies </w:t>
      </w:r>
      <w:r w:rsidR="00A373F8">
        <w:rPr>
          <w:rFonts w:eastAsia="Batang"/>
        </w:rPr>
        <w:t>in</w:t>
      </w:r>
      <w:r>
        <w:rPr>
          <w:rFonts w:eastAsia="Batang"/>
        </w:rPr>
        <w:t xml:space="preserve"> th</w:t>
      </w:r>
      <w:r w:rsidR="00A373F8">
        <w:rPr>
          <w:rFonts w:eastAsia="Batang"/>
        </w:rPr>
        <w:t>e</w:t>
      </w:r>
      <w:r>
        <w:rPr>
          <w:rFonts w:eastAsia="Batang"/>
        </w:rPr>
        <w:t xml:space="preserve"> UE power class d</w:t>
      </w:r>
      <w:r w:rsidR="00A373F8">
        <w:rPr>
          <w:rFonts w:eastAsia="Batang"/>
        </w:rPr>
        <w:t>erivation</w:t>
      </w:r>
      <w:r>
        <w:rPr>
          <w:rFonts w:eastAsia="Batang"/>
        </w:rPr>
        <w:t>.</w:t>
      </w:r>
    </w:p>
    <w:p w14:paraId="41ADE51E" w14:textId="77777777" w:rsidR="003C4EA3" w:rsidRDefault="003C4EA3" w:rsidP="0009270A">
      <w:pPr>
        <w:spacing w:after="120"/>
        <w:rPr>
          <w:rFonts w:eastAsia="Batang"/>
        </w:rPr>
      </w:pPr>
    </w:p>
    <w:p w14:paraId="294AE37C" w14:textId="1FAB24C0" w:rsidR="00AA3BE1" w:rsidRDefault="00AA3BE1" w:rsidP="003E7B37">
      <w:pPr>
        <w:spacing w:after="0"/>
        <w:rPr>
          <w:rFonts w:eastAsia="Batang"/>
        </w:rPr>
      </w:pPr>
      <w:r>
        <w:rPr>
          <w:rFonts w:eastAsia="Batang"/>
        </w:rPr>
        <w:t xml:space="preserve">The figure below presents the companies’ expected </w:t>
      </w:r>
      <w:r w:rsidR="006B7454">
        <w:rPr>
          <w:rFonts w:eastAsia="Batang"/>
        </w:rPr>
        <w:t xml:space="preserve">peak </w:t>
      </w:r>
      <w:r>
        <w:rPr>
          <w:rFonts w:eastAsia="Batang"/>
        </w:rPr>
        <w:t>EIRP for FR2 handheld UEs.</w:t>
      </w:r>
    </w:p>
    <w:p w14:paraId="243C3635" w14:textId="77777777" w:rsidR="00F90EDB" w:rsidRDefault="00F90EDB" w:rsidP="00C8719C">
      <w:pPr>
        <w:spacing w:after="120"/>
        <w:rPr>
          <w:rFonts w:eastAsia="Batang"/>
        </w:rPr>
      </w:pPr>
    </w:p>
    <w:p w14:paraId="13653290" w14:textId="77777777" w:rsidR="00B369B0" w:rsidRDefault="00B369B0" w:rsidP="00C8719C">
      <w:pPr>
        <w:spacing w:after="120"/>
        <w:rPr>
          <w:rFonts w:eastAsia="Batang"/>
        </w:rPr>
      </w:pPr>
    </w:p>
    <w:p w14:paraId="0F7A0040" w14:textId="0BDC0153" w:rsidR="00AA3BE1" w:rsidRDefault="00AA3BE1" w:rsidP="00C8719C">
      <w:pPr>
        <w:spacing w:before="120"/>
        <w:jc w:val="center"/>
        <w:rPr>
          <w:b/>
        </w:rPr>
      </w:pPr>
      <w:r>
        <w:rPr>
          <w:b/>
        </w:rPr>
        <w:lastRenderedPageBreak/>
        <w:t>Figure</w:t>
      </w:r>
      <w:r w:rsidRPr="00AC1384">
        <w:rPr>
          <w:b/>
        </w:rPr>
        <w:t xml:space="preserve"> </w:t>
      </w:r>
      <w:r w:rsidR="00B369B0">
        <w:rPr>
          <w:b/>
        </w:rPr>
        <w:t>2</w:t>
      </w:r>
      <w:r>
        <w:rPr>
          <w:b/>
        </w:rPr>
        <w:t xml:space="preserve">: </w:t>
      </w:r>
      <w:r w:rsidR="003E7B37">
        <w:rPr>
          <w:b/>
        </w:rPr>
        <w:t xml:space="preserve">Summary of </w:t>
      </w:r>
      <w:r w:rsidR="006B7454">
        <w:rPr>
          <w:b/>
        </w:rPr>
        <w:t xml:space="preserve">peak </w:t>
      </w:r>
      <w:r>
        <w:rPr>
          <w:b/>
        </w:rPr>
        <w:t>EIRP values for FR2 handheld UE (nominal and minimum)</w:t>
      </w:r>
    </w:p>
    <w:p w14:paraId="3A0CB67D" w14:textId="6205361B" w:rsidR="00AA3BE1" w:rsidRPr="00393BEC" w:rsidRDefault="00107213" w:rsidP="00107213">
      <w:pPr>
        <w:spacing w:before="240"/>
        <w:ind w:left="-990" w:right="-979" w:hanging="90"/>
        <w:jc w:val="center"/>
        <w:rPr>
          <w:b/>
        </w:rPr>
      </w:pPr>
      <w:r>
        <w:rPr>
          <w:noProof/>
          <w:lang w:val="en-US" w:eastAsia="en-US"/>
        </w:rPr>
        <w:drawing>
          <wp:inline distT="0" distB="0" distL="0" distR="0" wp14:anchorId="7CF9A79C" wp14:editId="3448E4BB">
            <wp:extent cx="7477125" cy="4144645"/>
            <wp:effectExtent l="0" t="0" r="9525" b="82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2FE7AB5" w14:textId="77777777" w:rsidR="00AA3BE1" w:rsidRPr="00B8455F" w:rsidRDefault="00AA3BE1" w:rsidP="00C8719C">
      <w:pPr>
        <w:spacing w:after="120"/>
        <w:rPr>
          <w:rFonts w:eastAsia="Batang"/>
          <w:b/>
        </w:rPr>
      </w:pPr>
    </w:p>
    <w:p w14:paraId="2BD1B748" w14:textId="77777777" w:rsidR="00B8455F" w:rsidRPr="00B8455F" w:rsidRDefault="00B8455F" w:rsidP="00B8455F">
      <w:pPr>
        <w:spacing w:before="40" w:after="40"/>
      </w:pPr>
      <w:r w:rsidRPr="00B8455F">
        <w:t>Considering the implementation of the peak EIRP core requirements in a certification program for NR UEs, such as GCF, a UE supporting a given set of NR bands must pass the minimum EIRP conformance limits for all bands in order to pass the certification.  In LTE OTA requirement development efforts, such as TRP/TRS and MIMO OTA, a joint band passing rate framework has been applied to measured data pools to quantify passing rates for a given limit. However, the task of defining the minimum requirement for peak EIRP for NR FR2 does not have the benefit of such data pool availability due to limitations in device availability.</w:t>
      </w:r>
    </w:p>
    <w:p w14:paraId="04D2F9EE" w14:textId="77777777" w:rsidR="00B8455F" w:rsidRPr="00B8455F" w:rsidRDefault="00B8455F" w:rsidP="00B8455F">
      <w:pPr>
        <w:spacing w:before="40" w:after="40"/>
        <w:rPr>
          <w:b/>
          <w:bCs/>
        </w:rPr>
      </w:pPr>
    </w:p>
    <w:p w14:paraId="27710EAA" w14:textId="798FCF70" w:rsidR="00B8455F" w:rsidRPr="00B8455F" w:rsidRDefault="00B8455F" w:rsidP="00B8455F">
      <w:pPr>
        <w:spacing w:before="40" w:after="40"/>
      </w:pPr>
      <w:r w:rsidRPr="00B8455F">
        <w:rPr>
          <w:b/>
          <w:bCs/>
        </w:rPr>
        <w:t xml:space="preserve">Observation </w:t>
      </w:r>
      <w:r w:rsidRPr="00B8455F">
        <w:rPr>
          <w:b/>
          <w:bCs/>
        </w:rPr>
        <w:t>5</w:t>
      </w:r>
      <w:r w:rsidRPr="00B8455F">
        <w:t>: In order to mitigate the risk of adopting a peak EIRP core requirement which potentially may result in high conformance failure rates of NR FR2 UEs undergoing certification, a proposal for the peak EIRP based on the minimum proposed value among the co-signing companies is preferred.</w:t>
      </w:r>
      <w:r w:rsidRPr="00B8455F">
        <w:rPr>
          <w:color w:val="000000"/>
        </w:rPr>
        <w:t xml:space="preserve"> </w:t>
      </w:r>
    </w:p>
    <w:p w14:paraId="374C4A81" w14:textId="77777777" w:rsidR="00B8455F" w:rsidRPr="00B8455F" w:rsidRDefault="00B8455F" w:rsidP="00B8455F">
      <w:pPr>
        <w:spacing w:after="0"/>
      </w:pPr>
      <w:r w:rsidRPr="00B8455F">
        <w:t> </w:t>
      </w:r>
    </w:p>
    <w:p w14:paraId="4E6688D6" w14:textId="2FFA2AFF" w:rsidR="00E06DF7" w:rsidRPr="00B8455F" w:rsidRDefault="00757137" w:rsidP="00AA3BE1">
      <w:pPr>
        <w:spacing w:after="0"/>
        <w:rPr>
          <w:rFonts w:eastAsia="Batang"/>
        </w:rPr>
      </w:pPr>
      <w:r w:rsidRPr="00B8455F">
        <w:rPr>
          <w:rFonts w:eastAsia="Batang"/>
          <w:b/>
        </w:rPr>
        <w:t>Proposal</w:t>
      </w:r>
      <w:r w:rsidR="00E06DF7" w:rsidRPr="00B8455F">
        <w:rPr>
          <w:rFonts w:eastAsia="Batang"/>
          <w:b/>
        </w:rPr>
        <w:t xml:space="preserve"> </w:t>
      </w:r>
      <w:r w:rsidR="003C4EA3" w:rsidRPr="00B8455F">
        <w:rPr>
          <w:rFonts w:eastAsia="Batang"/>
          <w:b/>
        </w:rPr>
        <w:t>2</w:t>
      </w:r>
      <w:r w:rsidR="00E06DF7" w:rsidRPr="00B8455F">
        <w:rPr>
          <w:rFonts w:eastAsia="Batang"/>
        </w:rPr>
        <w:t xml:space="preserve">: </w:t>
      </w:r>
      <w:r w:rsidR="003C4EA3" w:rsidRPr="00B8455F">
        <w:rPr>
          <w:rFonts w:eastAsia="Batang"/>
        </w:rPr>
        <w:t xml:space="preserve">Based on a survey of reported results, the </w:t>
      </w:r>
      <w:r w:rsidR="006B7454" w:rsidRPr="00B8455F">
        <w:rPr>
          <w:rFonts w:eastAsia="Batang"/>
        </w:rPr>
        <w:t xml:space="preserve">peak </w:t>
      </w:r>
      <w:r w:rsidR="00214E78" w:rsidRPr="00B8455F">
        <w:rPr>
          <w:rFonts w:eastAsia="Batang"/>
        </w:rPr>
        <w:t xml:space="preserve">EIRP (minimum value) is </w:t>
      </w:r>
      <w:r w:rsidR="00A32B33" w:rsidRPr="00B8455F">
        <w:rPr>
          <w:rFonts w:eastAsia="Batang"/>
        </w:rPr>
        <w:t>20</w:t>
      </w:r>
      <w:r w:rsidR="003E3D67" w:rsidRPr="00B8455F">
        <w:rPr>
          <w:rFonts w:eastAsia="Batang"/>
        </w:rPr>
        <w:t>.</w:t>
      </w:r>
      <w:r w:rsidR="00A32B33" w:rsidRPr="00B8455F">
        <w:rPr>
          <w:rFonts w:eastAsia="Batang"/>
        </w:rPr>
        <w:t>20</w:t>
      </w:r>
      <w:r w:rsidR="00214E78" w:rsidRPr="00B8455F">
        <w:rPr>
          <w:rFonts w:eastAsia="Batang"/>
        </w:rPr>
        <w:t xml:space="preserve"> dBm for the </w:t>
      </w:r>
      <w:r w:rsidR="00F66348" w:rsidRPr="00B8455F">
        <w:rPr>
          <w:rFonts w:eastAsia="Batang"/>
        </w:rPr>
        <w:t xml:space="preserve">24.25 - 29.5 GHz </w:t>
      </w:r>
      <w:r w:rsidR="00214E78" w:rsidRPr="00B8455F">
        <w:rPr>
          <w:rFonts w:eastAsia="Batang"/>
        </w:rPr>
        <w:t>frequency range</w:t>
      </w:r>
      <w:r w:rsidR="00F90EDB" w:rsidRPr="00B8455F">
        <w:rPr>
          <w:rFonts w:eastAsia="Batang"/>
        </w:rPr>
        <w:t>.</w:t>
      </w:r>
    </w:p>
    <w:p w14:paraId="1A221842" w14:textId="77777777" w:rsidR="00214E78" w:rsidRDefault="00214E78" w:rsidP="00AA3BE1">
      <w:pPr>
        <w:spacing w:after="0"/>
        <w:rPr>
          <w:rFonts w:eastAsia="Batang"/>
        </w:rPr>
      </w:pPr>
    </w:p>
    <w:p w14:paraId="2909669B" w14:textId="5378610F" w:rsidR="00214E78" w:rsidRDefault="00214E78" w:rsidP="00AA3BE1">
      <w:pPr>
        <w:spacing w:after="0"/>
        <w:rPr>
          <w:rFonts w:eastAsia="Batang"/>
        </w:rPr>
      </w:pPr>
      <w:r w:rsidRPr="00214E78">
        <w:rPr>
          <w:rFonts w:eastAsia="Batang"/>
          <w:b/>
        </w:rPr>
        <w:t>Proposal 3</w:t>
      </w:r>
      <w:r>
        <w:rPr>
          <w:rFonts w:eastAsia="Batang"/>
        </w:rPr>
        <w:t xml:space="preserve">: Based on a survey of reported results, the </w:t>
      </w:r>
      <w:r w:rsidR="006B7454">
        <w:rPr>
          <w:rFonts w:eastAsia="Batang"/>
        </w:rPr>
        <w:t xml:space="preserve">peak </w:t>
      </w:r>
      <w:r>
        <w:rPr>
          <w:rFonts w:eastAsia="Batang"/>
        </w:rPr>
        <w:t xml:space="preserve">EIRP (minimum value) is </w:t>
      </w:r>
      <w:r w:rsidR="003E3D67">
        <w:rPr>
          <w:rFonts w:eastAsia="Batang"/>
        </w:rPr>
        <w:t>1</w:t>
      </w:r>
      <w:r w:rsidR="00A32B33">
        <w:rPr>
          <w:rFonts w:eastAsia="Batang"/>
        </w:rPr>
        <w:t>8</w:t>
      </w:r>
      <w:r w:rsidR="003E3D67">
        <w:rPr>
          <w:rFonts w:eastAsia="Batang"/>
        </w:rPr>
        <w:t>.</w:t>
      </w:r>
      <w:r w:rsidR="00A32B33">
        <w:rPr>
          <w:rFonts w:eastAsia="Batang"/>
        </w:rPr>
        <w:t>40</w:t>
      </w:r>
      <w:r>
        <w:rPr>
          <w:rFonts w:eastAsia="Batang"/>
        </w:rPr>
        <w:t xml:space="preserve"> dBm for the </w:t>
      </w:r>
      <w:r w:rsidR="00F66348">
        <w:rPr>
          <w:rFonts w:eastAsia="Batang"/>
        </w:rPr>
        <w:t xml:space="preserve">37.0 – 40.0 GHz </w:t>
      </w:r>
      <w:r>
        <w:rPr>
          <w:rFonts w:eastAsia="Batang"/>
        </w:rPr>
        <w:t>frequency range.</w:t>
      </w:r>
    </w:p>
    <w:p w14:paraId="63A7EB35" w14:textId="77777777" w:rsidR="00AA3BE1" w:rsidRDefault="00AA3BE1" w:rsidP="00E06DF7">
      <w:pPr>
        <w:spacing w:after="0"/>
        <w:rPr>
          <w:rFonts w:eastAsia="Batang"/>
          <w:b/>
        </w:rPr>
      </w:pPr>
    </w:p>
    <w:p w14:paraId="5DE350F0" w14:textId="77777777" w:rsidR="00E06DF7" w:rsidRDefault="00E06DF7" w:rsidP="00E06DF7">
      <w:pPr>
        <w:pStyle w:val="Heading1"/>
        <w:rPr>
          <w:rFonts w:eastAsia="Batang"/>
        </w:rPr>
      </w:pPr>
      <w:r>
        <w:rPr>
          <w:rFonts w:eastAsia="Batang"/>
        </w:rPr>
        <w:t>3</w:t>
      </w:r>
      <w:r>
        <w:rPr>
          <w:rFonts w:eastAsia="Batang"/>
        </w:rPr>
        <w:tab/>
        <w:t>Conclusions</w:t>
      </w:r>
    </w:p>
    <w:p w14:paraId="74A4F15C" w14:textId="016179DD" w:rsidR="00E06DF7" w:rsidRDefault="00E06DF7" w:rsidP="00F90EDB">
      <w:pPr>
        <w:spacing w:after="0"/>
        <w:rPr>
          <w:rFonts w:eastAsia="Batang"/>
        </w:rPr>
      </w:pPr>
      <w:r>
        <w:rPr>
          <w:rFonts w:eastAsia="Batang"/>
        </w:rPr>
        <w:t xml:space="preserve">This paper </w:t>
      </w:r>
      <w:r w:rsidR="00AA3BE1">
        <w:rPr>
          <w:rFonts w:eastAsia="Batang"/>
        </w:rPr>
        <w:t>present</w:t>
      </w:r>
      <w:r>
        <w:rPr>
          <w:rFonts w:eastAsia="Batang"/>
        </w:rPr>
        <w:t xml:space="preserve">ed our views </w:t>
      </w:r>
      <w:r w:rsidR="00AA3BE1">
        <w:rPr>
          <w:rFonts w:eastAsia="Batang"/>
        </w:rPr>
        <w:t xml:space="preserve">on how to define the necessary parameters to provide a realistic link budget for mm-wave frequencies. It also summarized previous contributions in order to align on </w:t>
      </w:r>
      <w:r w:rsidR="006B7454">
        <w:rPr>
          <w:rFonts w:eastAsia="Batang"/>
        </w:rPr>
        <w:t xml:space="preserve">peak </w:t>
      </w:r>
      <w:r w:rsidR="00AA3BE1">
        <w:rPr>
          <w:rFonts w:eastAsia="Batang"/>
        </w:rPr>
        <w:t xml:space="preserve">EIRP for power class definition. Based on these, the following observations, </w:t>
      </w:r>
      <w:r>
        <w:rPr>
          <w:rFonts w:eastAsia="Batang"/>
        </w:rPr>
        <w:t xml:space="preserve">conclusions </w:t>
      </w:r>
      <w:r w:rsidR="00AA3BE1">
        <w:rPr>
          <w:rFonts w:eastAsia="Batang"/>
        </w:rPr>
        <w:t xml:space="preserve">and proposals </w:t>
      </w:r>
      <w:r>
        <w:rPr>
          <w:rFonts w:eastAsia="Batang"/>
        </w:rPr>
        <w:t>have been made:</w:t>
      </w:r>
    </w:p>
    <w:p w14:paraId="0C1BDC3C" w14:textId="77777777" w:rsidR="00F90EDB" w:rsidRDefault="00F90EDB" w:rsidP="00F90EDB">
      <w:pPr>
        <w:spacing w:after="0"/>
        <w:rPr>
          <w:rFonts w:eastAsia="Batang"/>
        </w:rPr>
      </w:pPr>
    </w:p>
    <w:p w14:paraId="01469294" w14:textId="77777777" w:rsidR="00214E78" w:rsidRDefault="00214E78" w:rsidP="00214E78">
      <w:pPr>
        <w:spacing w:after="0"/>
        <w:rPr>
          <w:rFonts w:eastAsia="Batang"/>
        </w:rPr>
      </w:pPr>
      <w:r w:rsidRPr="00175FAF">
        <w:rPr>
          <w:rFonts w:eastAsia="Batang"/>
          <w:b/>
        </w:rPr>
        <w:t xml:space="preserve">Observation </w:t>
      </w:r>
      <w:r>
        <w:rPr>
          <w:rFonts w:eastAsia="Batang"/>
          <w:b/>
        </w:rPr>
        <w:t>1</w:t>
      </w:r>
      <w:r>
        <w:rPr>
          <w:rFonts w:eastAsia="Batang"/>
        </w:rPr>
        <w:t>: Practical anticipated losses of in-package environment are essential at mm-wave frequencies.</w:t>
      </w:r>
    </w:p>
    <w:p w14:paraId="7130E091" w14:textId="77777777" w:rsidR="00AA3BE1" w:rsidRDefault="00AA3BE1" w:rsidP="00AA3BE1">
      <w:pPr>
        <w:spacing w:after="0"/>
        <w:rPr>
          <w:rFonts w:eastAsia="Batang"/>
          <w:b/>
        </w:rPr>
      </w:pPr>
    </w:p>
    <w:p w14:paraId="2C0FBE8F" w14:textId="77777777" w:rsidR="00214E78" w:rsidRDefault="00214E78" w:rsidP="00214E78">
      <w:pPr>
        <w:spacing w:after="0"/>
        <w:rPr>
          <w:rFonts w:eastAsia="Batang"/>
        </w:rPr>
      </w:pPr>
      <w:r w:rsidRPr="00D559B6">
        <w:rPr>
          <w:rFonts w:eastAsia="Batang"/>
          <w:b/>
        </w:rPr>
        <w:t>Observation 2:</w:t>
      </w:r>
      <w:r>
        <w:rPr>
          <w:rFonts w:eastAsia="Batang"/>
        </w:rPr>
        <w:t xml:space="preserve"> To cover worst-case scenario, a dual-band design should be analysed.</w:t>
      </w:r>
    </w:p>
    <w:p w14:paraId="318B11B4" w14:textId="77777777" w:rsidR="00EA34F1" w:rsidRDefault="00EA34F1" w:rsidP="00214E78">
      <w:pPr>
        <w:spacing w:after="0"/>
        <w:rPr>
          <w:rFonts w:eastAsia="Batang"/>
        </w:rPr>
      </w:pPr>
    </w:p>
    <w:p w14:paraId="28C4355F" w14:textId="7FF12322" w:rsidR="00214E78" w:rsidRDefault="000E0602" w:rsidP="00214E78">
      <w:pPr>
        <w:spacing w:after="0"/>
        <w:rPr>
          <w:rFonts w:eastAsia="Batang"/>
        </w:rPr>
      </w:pPr>
      <w:r w:rsidRPr="000E0602">
        <w:rPr>
          <w:rFonts w:eastAsia="Batang"/>
          <w:b/>
        </w:rPr>
        <w:t>Observation 3</w:t>
      </w:r>
      <w:r w:rsidRPr="000E0602">
        <w:rPr>
          <w:rFonts w:eastAsia="Batang"/>
        </w:rPr>
        <w:t>: For the low frequency range the nominal, tolerance, and minimum values of peak EIRP are 24.05, 3.85, and 20.20 dBm, respectively.</w:t>
      </w:r>
    </w:p>
    <w:p w14:paraId="0A4051BC" w14:textId="77777777" w:rsidR="00214E78" w:rsidRDefault="00214E78" w:rsidP="00214E78">
      <w:pPr>
        <w:spacing w:after="0"/>
        <w:rPr>
          <w:rFonts w:eastAsia="Batang"/>
        </w:rPr>
      </w:pPr>
    </w:p>
    <w:p w14:paraId="608C5311" w14:textId="7DA4E245" w:rsidR="00214E78" w:rsidRDefault="00F979C8" w:rsidP="00214E78">
      <w:pPr>
        <w:spacing w:after="0"/>
        <w:rPr>
          <w:rFonts w:eastAsia="Batang"/>
        </w:rPr>
      </w:pPr>
      <w:r w:rsidRPr="00F979C8">
        <w:rPr>
          <w:rFonts w:eastAsia="Batang"/>
          <w:b/>
        </w:rPr>
        <w:t>Observation 4</w:t>
      </w:r>
      <w:r w:rsidRPr="00F979C8">
        <w:rPr>
          <w:rFonts w:eastAsia="Batang"/>
        </w:rPr>
        <w:t>: For the high frequency range the nominal, tolerance, and minimum values of peak EIRP are 22.3</w:t>
      </w:r>
      <w:r>
        <w:rPr>
          <w:rFonts w:eastAsia="Batang"/>
        </w:rPr>
        <w:t xml:space="preserve">5, </w:t>
      </w:r>
      <w:r w:rsidRPr="00F979C8">
        <w:rPr>
          <w:rFonts w:eastAsia="Batang"/>
        </w:rPr>
        <w:t>3.95, and 18.40 dBm, respectively.</w:t>
      </w:r>
    </w:p>
    <w:p w14:paraId="209900E6" w14:textId="77777777" w:rsidR="00214E78" w:rsidRDefault="00214E78" w:rsidP="00AA3BE1">
      <w:pPr>
        <w:spacing w:after="0"/>
        <w:rPr>
          <w:rFonts w:eastAsia="Batang"/>
          <w:b/>
        </w:rPr>
      </w:pPr>
    </w:p>
    <w:p w14:paraId="0D7FC127" w14:textId="5E865582" w:rsidR="00214E78" w:rsidRDefault="00EA34F1" w:rsidP="00214E78">
      <w:pPr>
        <w:spacing w:after="0"/>
        <w:rPr>
          <w:rFonts w:eastAsia="Batang"/>
        </w:rPr>
      </w:pPr>
      <w:r w:rsidRPr="00552995">
        <w:rPr>
          <w:rFonts w:eastAsia="Batang"/>
          <w:b/>
        </w:rPr>
        <w:t>Proposal 1</w:t>
      </w:r>
      <w:r>
        <w:rPr>
          <w:rFonts w:eastAsia="Batang"/>
        </w:rPr>
        <w:t>: The maximum EIRP value for the UE power class is defined for the DFT-s-OFDM full allocation waveform with the QPSK modulation and MPR=0, measured over 1 ms.</w:t>
      </w:r>
    </w:p>
    <w:p w14:paraId="08F46505" w14:textId="47230B68" w:rsidR="00E06DF7" w:rsidRDefault="00E06DF7" w:rsidP="00AA3BE1">
      <w:pPr>
        <w:spacing w:after="0"/>
        <w:rPr>
          <w:rFonts w:eastAsia="Batang"/>
        </w:rPr>
      </w:pPr>
    </w:p>
    <w:p w14:paraId="125841F9" w14:textId="5EE7B589" w:rsidR="00D059A5" w:rsidRDefault="00D059A5" w:rsidP="00AA3BE1">
      <w:pPr>
        <w:spacing w:after="0"/>
      </w:pPr>
      <w:r w:rsidRPr="00B8455F">
        <w:rPr>
          <w:b/>
          <w:bCs/>
        </w:rPr>
        <w:t xml:space="preserve">Observation </w:t>
      </w:r>
      <w:r>
        <w:rPr>
          <w:b/>
          <w:bCs/>
        </w:rPr>
        <w:t>5</w:t>
      </w:r>
      <w:r w:rsidRPr="00B8455F">
        <w:t>: In order to mitigate the risk of adopting a peak EIRP core requirement which potentially may result in high conformance failure rates of NR FR2 UEs undergoing certification, a proposal for the peak EIRP based on the minimum proposed value among the co-signing companies is preferred.</w:t>
      </w:r>
    </w:p>
    <w:p w14:paraId="7A2C3EEE" w14:textId="77777777" w:rsidR="00D059A5" w:rsidRDefault="00D059A5" w:rsidP="00AA3BE1">
      <w:pPr>
        <w:spacing w:after="0"/>
        <w:rPr>
          <w:rFonts w:eastAsia="Batang"/>
        </w:rPr>
      </w:pPr>
    </w:p>
    <w:p w14:paraId="640B30BB" w14:textId="592CD9B5" w:rsidR="00214E78" w:rsidRDefault="00214E78" w:rsidP="00214E78">
      <w:pPr>
        <w:spacing w:after="0"/>
        <w:rPr>
          <w:rFonts w:eastAsia="Batang"/>
        </w:rPr>
      </w:pPr>
      <w:r>
        <w:rPr>
          <w:rFonts w:eastAsia="Batang"/>
          <w:b/>
        </w:rPr>
        <w:t>Proposal</w:t>
      </w:r>
      <w:r w:rsidRPr="00175FAF">
        <w:rPr>
          <w:rFonts w:eastAsia="Batang"/>
          <w:b/>
        </w:rPr>
        <w:t xml:space="preserve"> </w:t>
      </w:r>
      <w:r>
        <w:rPr>
          <w:rFonts w:eastAsia="Batang"/>
          <w:b/>
        </w:rPr>
        <w:t>2</w:t>
      </w:r>
      <w:r>
        <w:rPr>
          <w:rFonts w:eastAsia="Batang"/>
        </w:rPr>
        <w:t xml:space="preserve">: Based on a survey of reported results, the </w:t>
      </w:r>
      <w:r w:rsidR="006B7454">
        <w:rPr>
          <w:rFonts w:eastAsia="Batang"/>
        </w:rPr>
        <w:t xml:space="preserve">peak </w:t>
      </w:r>
      <w:r>
        <w:rPr>
          <w:rFonts w:eastAsia="Batang"/>
        </w:rPr>
        <w:t xml:space="preserve">EIRP (minimum value) is </w:t>
      </w:r>
      <w:r w:rsidR="00A32B33">
        <w:rPr>
          <w:rFonts w:eastAsia="Batang"/>
        </w:rPr>
        <w:t>20</w:t>
      </w:r>
      <w:r w:rsidR="003E3D67">
        <w:rPr>
          <w:rFonts w:eastAsia="Batang"/>
        </w:rPr>
        <w:t>.</w:t>
      </w:r>
      <w:r w:rsidR="00A32B33">
        <w:rPr>
          <w:rFonts w:eastAsia="Batang"/>
        </w:rPr>
        <w:t>20</w:t>
      </w:r>
      <w:r>
        <w:rPr>
          <w:rFonts w:eastAsia="Batang"/>
        </w:rPr>
        <w:t xml:space="preserve"> dBm for the </w:t>
      </w:r>
      <w:r w:rsidR="00F66348" w:rsidRPr="00214E78">
        <w:rPr>
          <w:rFonts w:eastAsia="Batang"/>
        </w:rPr>
        <w:t>24.25 - 29.5</w:t>
      </w:r>
      <w:r w:rsidR="00F66348">
        <w:rPr>
          <w:rFonts w:eastAsia="Batang"/>
        </w:rPr>
        <w:t xml:space="preserve"> GHz </w:t>
      </w:r>
      <w:r>
        <w:rPr>
          <w:rFonts w:eastAsia="Batang"/>
        </w:rPr>
        <w:t>frequency range</w:t>
      </w:r>
      <w:r w:rsidR="00F90EDB">
        <w:rPr>
          <w:rFonts w:eastAsia="Batang"/>
        </w:rPr>
        <w:t>.</w:t>
      </w:r>
    </w:p>
    <w:p w14:paraId="0E771B76" w14:textId="77777777" w:rsidR="00D059A5" w:rsidRDefault="00D059A5" w:rsidP="00214E78">
      <w:pPr>
        <w:spacing w:after="0"/>
        <w:rPr>
          <w:rFonts w:eastAsia="Batang"/>
        </w:rPr>
      </w:pPr>
    </w:p>
    <w:p w14:paraId="29DA761E" w14:textId="2FBB9B3D" w:rsidR="00214E78" w:rsidRDefault="00214E78" w:rsidP="00214E78">
      <w:pPr>
        <w:spacing w:after="0"/>
        <w:rPr>
          <w:rFonts w:eastAsia="Batang"/>
        </w:rPr>
      </w:pPr>
      <w:r w:rsidRPr="00214E78">
        <w:rPr>
          <w:rFonts w:eastAsia="Batang"/>
          <w:b/>
        </w:rPr>
        <w:t>Proposal 3</w:t>
      </w:r>
      <w:r>
        <w:rPr>
          <w:rFonts w:eastAsia="Batang"/>
        </w:rPr>
        <w:t xml:space="preserve">: Based on a survey of reported results, the </w:t>
      </w:r>
      <w:r w:rsidR="006B7454">
        <w:rPr>
          <w:rFonts w:eastAsia="Batang"/>
        </w:rPr>
        <w:t xml:space="preserve">peak </w:t>
      </w:r>
      <w:r>
        <w:rPr>
          <w:rFonts w:eastAsia="Batang"/>
        </w:rPr>
        <w:t xml:space="preserve">EIRP (minimum value) is </w:t>
      </w:r>
      <w:r w:rsidR="003E3D67">
        <w:rPr>
          <w:rFonts w:eastAsia="Batang"/>
        </w:rPr>
        <w:t>1</w:t>
      </w:r>
      <w:r w:rsidR="00A32B33">
        <w:rPr>
          <w:rFonts w:eastAsia="Batang"/>
        </w:rPr>
        <w:t>8</w:t>
      </w:r>
      <w:r w:rsidR="003E3D67">
        <w:rPr>
          <w:rFonts w:eastAsia="Batang"/>
        </w:rPr>
        <w:t>.</w:t>
      </w:r>
      <w:r w:rsidR="00A32B33">
        <w:rPr>
          <w:rFonts w:eastAsia="Batang"/>
        </w:rPr>
        <w:t>40</w:t>
      </w:r>
      <w:r>
        <w:rPr>
          <w:rFonts w:eastAsia="Batang"/>
        </w:rPr>
        <w:t xml:space="preserve"> dBm for the </w:t>
      </w:r>
      <w:r w:rsidR="00F66348">
        <w:rPr>
          <w:rFonts w:eastAsia="Batang"/>
        </w:rPr>
        <w:t xml:space="preserve">37.0 – 40.0 GHz </w:t>
      </w:r>
      <w:r>
        <w:rPr>
          <w:rFonts w:eastAsia="Batang"/>
        </w:rPr>
        <w:t>frequency range.</w:t>
      </w:r>
    </w:p>
    <w:p w14:paraId="63799AD0" w14:textId="77777777" w:rsidR="00B369B0" w:rsidRDefault="00B369B0" w:rsidP="00214E78">
      <w:pPr>
        <w:spacing w:after="0"/>
        <w:rPr>
          <w:rFonts w:eastAsia="Batang"/>
        </w:rPr>
      </w:pPr>
    </w:p>
    <w:p w14:paraId="6161E495" w14:textId="77777777" w:rsidR="00E06DF7" w:rsidRDefault="00E06DF7" w:rsidP="00E06DF7">
      <w:pPr>
        <w:pStyle w:val="Heading1"/>
      </w:pPr>
      <w:r>
        <w:t>4</w:t>
      </w:r>
      <w:r>
        <w:tab/>
        <w:t>References</w:t>
      </w:r>
    </w:p>
    <w:p w14:paraId="107E959C" w14:textId="5B2D6AA5" w:rsidR="000D5980" w:rsidRDefault="000D5980" w:rsidP="00F90EDB">
      <w:pPr>
        <w:numPr>
          <w:ilvl w:val="0"/>
          <w:numId w:val="1"/>
        </w:numPr>
        <w:spacing w:after="0"/>
      </w:pPr>
      <w:bookmarkStart w:id="1" w:name="_Ref476813621"/>
      <w:bookmarkStart w:id="2" w:name="_Ref476814267"/>
      <w:bookmarkStart w:id="3" w:name="_Ref485283161"/>
      <w:r w:rsidRPr="00483A72">
        <w:t>R4-1704362</w:t>
      </w:r>
      <w:r>
        <w:t>, “</w:t>
      </w:r>
      <w:r w:rsidRPr="00483A72">
        <w:t>WF on mmW UE power class</w:t>
      </w:r>
      <w:r>
        <w:t>,” Qualcomm, Ericsson, Sony, Skyworks, 3GPP RAN4 #82bis, April 2017</w:t>
      </w:r>
      <w:bookmarkEnd w:id="3"/>
    </w:p>
    <w:p w14:paraId="2C717798" w14:textId="7E4C5BDA" w:rsidR="00F90EDB" w:rsidRDefault="00F90EDB" w:rsidP="00F90EDB">
      <w:pPr>
        <w:numPr>
          <w:ilvl w:val="0"/>
          <w:numId w:val="1"/>
        </w:numPr>
        <w:spacing w:after="0"/>
      </w:pPr>
      <w:r>
        <w:t>R4-1708914, “WF on Power Class and CDF,” NTT DOCOMO, 3GPP RAN</w:t>
      </w:r>
      <w:r w:rsidR="00C5266B">
        <w:t>4</w:t>
      </w:r>
      <w:r>
        <w:t xml:space="preserve"> #84, August 2017</w:t>
      </w:r>
      <w:bookmarkEnd w:id="1"/>
      <w:bookmarkEnd w:id="2"/>
    </w:p>
    <w:p w14:paraId="0E34C9BD" w14:textId="368097CD" w:rsidR="000D5980" w:rsidRDefault="00F90EDB" w:rsidP="000D5980">
      <w:pPr>
        <w:numPr>
          <w:ilvl w:val="0"/>
          <w:numId w:val="1"/>
        </w:numPr>
        <w:spacing w:after="0"/>
      </w:pPr>
      <w:r w:rsidRPr="00481146">
        <w:t>R4-1711895</w:t>
      </w:r>
      <w:r>
        <w:t>, “</w:t>
      </w:r>
      <w:r w:rsidRPr="00481146">
        <w:t>WF on power class in FR2</w:t>
      </w:r>
      <w:r>
        <w:t xml:space="preserve">,” </w:t>
      </w:r>
      <w:r w:rsidRPr="00481146">
        <w:t>Intel Corporation, Apple, Samsung, LGE, Huawei, MediaTek, Xiaomi, vivo, OPPO, Motorola</w:t>
      </w:r>
      <w:r>
        <w:t>, 3GPP RAN</w:t>
      </w:r>
      <w:r w:rsidR="00C5266B">
        <w:t>4</w:t>
      </w:r>
      <w:r>
        <w:t xml:space="preserve"> #84bis, October 2017</w:t>
      </w:r>
      <w:bookmarkStart w:id="4" w:name="_Ref466239850"/>
      <w:bookmarkStart w:id="5" w:name="_Ref466239739"/>
      <w:bookmarkStart w:id="6" w:name="_Ref485282685"/>
    </w:p>
    <w:p w14:paraId="7D6D4FA4" w14:textId="1A2C2357" w:rsidR="000D5980" w:rsidRDefault="000D5980" w:rsidP="000D5980">
      <w:pPr>
        <w:numPr>
          <w:ilvl w:val="0"/>
          <w:numId w:val="1"/>
        </w:numPr>
        <w:spacing w:after="0"/>
      </w:pPr>
      <w:r>
        <w:t>TR 38.803</w:t>
      </w:r>
      <w:r w:rsidRPr="00647B25">
        <w:t>, “</w:t>
      </w:r>
      <w:r w:rsidRPr="00647B25">
        <w:rPr>
          <w:rFonts w:hint="eastAsia"/>
        </w:rPr>
        <w:t>Study on 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w:t>
      </w:r>
      <w:bookmarkEnd w:id="5"/>
      <w:r w:rsidRPr="00647B25">
        <w:t>201</w:t>
      </w:r>
      <w:r>
        <w:t>7</w:t>
      </w:r>
      <w:bookmarkEnd w:id="6"/>
    </w:p>
    <w:p w14:paraId="59E3528C" w14:textId="5FA776AC" w:rsidR="00177950" w:rsidRDefault="00C5266B" w:rsidP="000D5980">
      <w:pPr>
        <w:numPr>
          <w:ilvl w:val="0"/>
          <w:numId w:val="1"/>
        </w:numPr>
        <w:spacing w:after="0"/>
      </w:pPr>
      <w:r>
        <w:t>R4-1709402, “On UE power class for mm-Wave,” Intel Corporation, 3GPP RAN4 AH#3, September 2017</w:t>
      </w:r>
      <w:bookmarkEnd w:id="4"/>
    </w:p>
    <w:sectPr w:rsidR="00177950" w:rsidSect="00B04C91">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286AE" w14:textId="77777777" w:rsidR="000420C2" w:rsidRDefault="000420C2">
      <w:pPr>
        <w:spacing w:after="0"/>
      </w:pPr>
      <w:r>
        <w:separator/>
      </w:r>
    </w:p>
  </w:endnote>
  <w:endnote w:type="continuationSeparator" w:id="0">
    <w:p w14:paraId="2267BC35" w14:textId="77777777" w:rsidR="000420C2" w:rsidRDefault="00042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FA2417" w:rsidRPr="00FB0969" w:rsidRDefault="00FA2417" w:rsidP="00B04C91">
    <w:pPr>
      <w:pStyle w:val="Footer"/>
    </w:pPr>
    <w:r>
      <w:rPr>
        <w:noProof w:val="0"/>
      </w:rPr>
      <w:fldChar w:fldCharType="begin"/>
    </w:r>
    <w:r>
      <w:rPr>
        <w:noProof w:val="0"/>
      </w:rPr>
      <w:instrText xml:space="preserve"> PAGE   \* MERGEFORMAT </w:instrText>
    </w:r>
    <w:r>
      <w:rPr>
        <w:noProof w:val="0"/>
      </w:rPr>
      <w:fldChar w:fldCharType="separate"/>
    </w:r>
    <w:r w:rsidR="00BF30B8">
      <w:t>5</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BF30B8">
      <w:t>6</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CCD3B" w14:textId="77777777" w:rsidR="000420C2" w:rsidRDefault="000420C2">
      <w:pPr>
        <w:spacing w:after="0"/>
      </w:pPr>
      <w:r>
        <w:separator/>
      </w:r>
    </w:p>
  </w:footnote>
  <w:footnote w:type="continuationSeparator" w:id="0">
    <w:p w14:paraId="09B785EE" w14:textId="77777777" w:rsidR="000420C2" w:rsidRDefault="000420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9"/>
  </w:num>
  <w:num w:numId="4">
    <w:abstractNumId w:val="11"/>
  </w:num>
  <w:num w:numId="5">
    <w:abstractNumId w:val="7"/>
  </w:num>
  <w:num w:numId="6">
    <w:abstractNumId w:val="16"/>
  </w:num>
  <w:num w:numId="7">
    <w:abstractNumId w:val="2"/>
  </w:num>
  <w:num w:numId="8">
    <w:abstractNumId w:val="20"/>
  </w:num>
  <w:num w:numId="9">
    <w:abstractNumId w:val="8"/>
  </w:num>
  <w:num w:numId="10">
    <w:abstractNumId w:val="14"/>
  </w:num>
  <w:num w:numId="11">
    <w:abstractNumId w:val="15"/>
  </w:num>
  <w:num w:numId="12">
    <w:abstractNumId w:val="4"/>
  </w:num>
  <w:num w:numId="13">
    <w:abstractNumId w:val="5"/>
  </w:num>
  <w:num w:numId="14">
    <w:abstractNumId w:val="3"/>
  </w:num>
  <w:num w:numId="15">
    <w:abstractNumId w:val="6"/>
  </w:num>
  <w:num w:numId="16">
    <w:abstractNumId w:val="12"/>
  </w:num>
  <w:num w:numId="17">
    <w:abstractNumId w:val="9"/>
  </w:num>
  <w:num w:numId="18">
    <w:abstractNumId w:val="13"/>
  </w:num>
  <w:num w:numId="19">
    <w:abstractNumId w:val="18"/>
  </w:num>
  <w:num w:numId="20">
    <w:abstractNumId w:val="1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247C0"/>
    <w:rsid w:val="000335EE"/>
    <w:rsid w:val="000420C2"/>
    <w:rsid w:val="000457D3"/>
    <w:rsid w:val="000461A2"/>
    <w:rsid w:val="00055CCB"/>
    <w:rsid w:val="00056E3D"/>
    <w:rsid w:val="000573BF"/>
    <w:rsid w:val="00060202"/>
    <w:rsid w:val="00060AA1"/>
    <w:rsid w:val="00091895"/>
    <w:rsid w:val="000918C5"/>
    <w:rsid w:val="0009270A"/>
    <w:rsid w:val="000954AE"/>
    <w:rsid w:val="000956EC"/>
    <w:rsid w:val="000D37AC"/>
    <w:rsid w:val="000D5980"/>
    <w:rsid w:val="000D74F3"/>
    <w:rsid w:val="000E0602"/>
    <w:rsid w:val="000F5AEE"/>
    <w:rsid w:val="00102A4E"/>
    <w:rsid w:val="00107213"/>
    <w:rsid w:val="001156C9"/>
    <w:rsid w:val="001267FD"/>
    <w:rsid w:val="0013715D"/>
    <w:rsid w:val="00141E79"/>
    <w:rsid w:val="0014529E"/>
    <w:rsid w:val="0014768A"/>
    <w:rsid w:val="00147D68"/>
    <w:rsid w:val="00147F4D"/>
    <w:rsid w:val="001528FA"/>
    <w:rsid w:val="00153788"/>
    <w:rsid w:val="001639D5"/>
    <w:rsid w:val="00171F37"/>
    <w:rsid w:val="001720F2"/>
    <w:rsid w:val="00177950"/>
    <w:rsid w:val="0018643E"/>
    <w:rsid w:val="00191B9E"/>
    <w:rsid w:val="001A31CB"/>
    <w:rsid w:val="001B4D99"/>
    <w:rsid w:val="001D0B1E"/>
    <w:rsid w:val="001E50EB"/>
    <w:rsid w:val="001E535B"/>
    <w:rsid w:val="001E57FC"/>
    <w:rsid w:val="001F0BA7"/>
    <w:rsid w:val="001F4A2B"/>
    <w:rsid w:val="001F4ACD"/>
    <w:rsid w:val="001F5B3B"/>
    <w:rsid w:val="001F7BF3"/>
    <w:rsid w:val="0020615B"/>
    <w:rsid w:val="002139A0"/>
    <w:rsid w:val="00214E78"/>
    <w:rsid w:val="00224B46"/>
    <w:rsid w:val="002356B0"/>
    <w:rsid w:val="00264BD1"/>
    <w:rsid w:val="0026732C"/>
    <w:rsid w:val="002674E6"/>
    <w:rsid w:val="002724EA"/>
    <w:rsid w:val="00286811"/>
    <w:rsid w:val="002944FD"/>
    <w:rsid w:val="002C01DA"/>
    <w:rsid w:val="002D5304"/>
    <w:rsid w:val="002E3D87"/>
    <w:rsid w:val="002E5E12"/>
    <w:rsid w:val="002E7D23"/>
    <w:rsid w:val="00310829"/>
    <w:rsid w:val="00312D6E"/>
    <w:rsid w:val="00315EC4"/>
    <w:rsid w:val="003166E0"/>
    <w:rsid w:val="00341212"/>
    <w:rsid w:val="00343C60"/>
    <w:rsid w:val="00344838"/>
    <w:rsid w:val="00351A82"/>
    <w:rsid w:val="00352A34"/>
    <w:rsid w:val="003538D8"/>
    <w:rsid w:val="00391875"/>
    <w:rsid w:val="00393BEC"/>
    <w:rsid w:val="00395466"/>
    <w:rsid w:val="003A287D"/>
    <w:rsid w:val="003B68B1"/>
    <w:rsid w:val="003C3B46"/>
    <w:rsid w:val="003C4857"/>
    <w:rsid w:val="003C4EA3"/>
    <w:rsid w:val="003D50E8"/>
    <w:rsid w:val="003E3D67"/>
    <w:rsid w:val="003E7B37"/>
    <w:rsid w:val="003F7955"/>
    <w:rsid w:val="00404521"/>
    <w:rsid w:val="00406F59"/>
    <w:rsid w:val="00431414"/>
    <w:rsid w:val="00441097"/>
    <w:rsid w:val="00444C00"/>
    <w:rsid w:val="004566EC"/>
    <w:rsid w:val="004629A7"/>
    <w:rsid w:val="00462CF2"/>
    <w:rsid w:val="00464525"/>
    <w:rsid w:val="00472D8B"/>
    <w:rsid w:val="00481146"/>
    <w:rsid w:val="004858F4"/>
    <w:rsid w:val="00487FC1"/>
    <w:rsid w:val="004905B5"/>
    <w:rsid w:val="004A7976"/>
    <w:rsid w:val="004D7331"/>
    <w:rsid w:val="004F1167"/>
    <w:rsid w:val="004F1429"/>
    <w:rsid w:val="004F4A03"/>
    <w:rsid w:val="00505DE3"/>
    <w:rsid w:val="005222ED"/>
    <w:rsid w:val="00547FFC"/>
    <w:rsid w:val="00552995"/>
    <w:rsid w:val="00572780"/>
    <w:rsid w:val="00572949"/>
    <w:rsid w:val="0057681E"/>
    <w:rsid w:val="00583B66"/>
    <w:rsid w:val="005A72C5"/>
    <w:rsid w:val="005B7CD5"/>
    <w:rsid w:val="005C1165"/>
    <w:rsid w:val="005C3839"/>
    <w:rsid w:val="005C7641"/>
    <w:rsid w:val="005D1283"/>
    <w:rsid w:val="005D2550"/>
    <w:rsid w:val="005E4A2E"/>
    <w:rsid w:val="005E5531"/>
    <w:rsid w:val="00611B87"/>
    <w:rsid w:val="0062502C"/>
    <w:rsid w:val="00631B1B"/>
    <w:rsid w:val="006428F0"/>
    <w:rsid w:val="00660E86"/>
    <w:rsid w:val="006735B9"/>
    <w:rsid w:val="00673630"/>
    <w:rsid w:val="006A21E4"/>
    <w:rsid w:val="006A5F93"/>
    <w:rsid w:val="006A6A2A"/>
    <w:rsid w:val="006A7ACB"/>
    <w:rsid w:val="006B6C7E"/>
    <w:rsid w:val="006B7454"/>
    <w:rsid w:val="006C2BF7"/>
    <w:rsid w:val="006E661F"/>
    <w:rsid w:val="006F0BF0"/>
    <w:rsid w:val="007074B7"/>
    <w:rsid w:val="00710323"/>
    <w:rsid w:val="00716860"/>
    <w:rsid w:val="00716E78"/>
    <w:rsid w:val="007178E7"/>
    <w:rsid w:val="00730ABF"/>
    <w:rsid w:val="007351DF"/>
    <w:rsid w:val="00757137"/>
    <w:rsid w:val="00762A56"/>
    <w:rsid w:val="00764559"/>
    <w:rsid w:val="00764D1E"/>
    <w:rsid w:val="00773BF4"/>
    <w:rsid w:val="00784470"/>
    <w:rsid w:val="007925C4"/>
    <w:rsid w:val="00795F45"/>
    <w:rsid w:val="007A1653"/>
    <w:rsid w:val="007C0C0E"/>
    <w:rsid w:val="007E738A"/>
    <w:rsid w:val="007F5803"/>
    <w:rsid w:val="00807B00"/>
    <w:rsid w:val="00812C4D"/>
    <w:rsid w:val="00821596"/>
    <w:rsid w:val="00823194"/>
    <w:rsid w:val="0082319A"/>
    <w:rsid w:val="008514A3"/>
    <w:rsid w:val="00852BF7"/>
    <w:rsid w:val="0086053C"/>
    <w:rsid w:val="00860BCA"/>
    <w:rsid w:val="008A2803"/>
    <w:rsid w:val="008A5C66"/>
    <w:rsid w:val="008B08C6"/>
    <w:rsid w:val="008B491D"/>
    <w:rsid w:val="008B7C03"/>
    <w:rsid w:val="008C4CD6"/>
    <w:rsid w:val="008D2020"/>
    <w:rsid w:val="008D39BB"/>
    <w:rsid w:val="008F06F2"/>
    <w:rsid w:val="00900635"/>
    <w:rsid w:val="00901943"/>
    <w:rsid w:val="00912C58"/>
    <w:rsid w:val="0091385E"/>
    <w:rsid w:val="00920CF6"/>
    <w:rsid w:val="00926E32"/>
    <w:rsid w:val="00941B93"/>
    <w:rsid w:val="00943867"/>
    <w:rsid w:val="00947E9D"/>
    <w:rsid w:val="00950AB2"/>
    <w:rsid w:val="00960B21"/>
    <w:rsid w:val="009635C8"/>
    <w:rsid w:val="009816E8"/>
    <w:rsid w:val="0098744D"/>
    <w:rsid w:val="0099563D"/>
    <w:rsid w:val="009A1B4A"/>
    <w:rsid w:val="009A3898"/>
    <w:rsid w:val="009D5B94"/>
    <w:rsid w:val="009F7389"/>
    <w:rsid w:val="00A32B33"/>
    <w:rsid w:val="00A36B1B"/>
    <w:rsid w:val="00A373F8"/>
    <w:rsid w:val="00A45612"/>
    <w:rsid w:val="00A506E0"/>
    <w:rsid w:val="00A727DE"/>
    <w:rsid w:val="00A956C2"/>
    <w:rsid w:val="00AA3BE1"/>
    <w:rsid w:val="00AA6887"/>
    <w:rsid w:val="00AA73E1"/>
    <w:rsid w:val="00AB40E3"/>
    <w:rsid w:val="00AB4825"/>
    <w:rsid w:val="00AB7022"/>
    <w:rsid w:val="00AC1384"/>
    <w:rsid w:val="00AC5A61"/>
    <w:rsid w:val="00AD0FE0"/>
    <w:rsid w:val="00AD46C4"/>
    <w:rsid w:val="00AD64D2"/>
    <w:rsid w:val="00B04C91"/>
    <w:rsid w:val="00B24C7F"/>
    <w:rsid w:val="00B369B0"/>
    <w:rsid w:val="00B42734"/>
    <w:rsid w:val="00B56DDD"/>
    <w:rsid w:val="00B5730E"/>
    <w:rsid w:val="00B75493"/>
    <w:rsid w:val="00B83AB9"/>
    <w:rsid w:val="00B8455F"/>
    <w:rsid w:val="00B8543A"/>
    <w:rsid w:val="00BB062E"/>
    <w:rsid w:val="00BB0F45"/>
    <w:rsid w:val="00BB1906"/>
    <w:rsid w:val="00BB7052"/>
    <w:rsid w:val="00BD06A6"/>
    <w:rsid w:val="00BE33DB"/>
    <w:rsid w:val="00BF17BB"/>
    <w:rsid w:val="00BF30B8"/>
    <w:rsid w:val="00C05C44"/>
    <w:rsid w:val="00C26DCF"/>
    <w:rsid w:val="00C34AD4"/>
    <w:rsid w:val="00C5266B"/>
    <w:rsid w:val="00C6044B"/>
    <w:rsid w:val="00C619C2"/>
    <w:rsid w:val="00C62A54"/>
    <w:rsid w:val="00C6384E"/>
    <w:rsid w:val="00C73F01"/>
    <w:rsid w:val="00C76F2C"/>
    <w:rsid w:val="00C813F9"/>
    <w:rsid w:val="00C8250F"/>
    <w:rsid w:val="00C84968"/>
    <w:rsid w:val="00C85240"/>
    <w:rsid w:val="00C8719C"/>
    <w:rsid w:val="00C972DB"/>
    <w:rsid w:val="00CA7495"/>
    <w:rsid w:val="00CC21DE"/>
    <w:rsid w:val="00CC3BDB"/>
    <w:rsid w:val="00CE51E5"/>
    <w:rsid w:val="00D059A5"/>
    <w:rsid w:val="00D54C9C"/>
    <w:rsid w:val="00D559B6"/>
    <w:rsid w:val="00D61744"/>
    <w:rsid w:val="00D64EFA"/>
    <w:rsid w:val="00D705A1"/>
    <w:rsid w:val="00D75746"/>
    <w:rsid w:val="00D907DC"/>
    <w:rsid w:val="00DB3C18"/>
    <w:rsid w:val="00DD1AC9"/>
    <w:rsid w:val="00DE070B"/>
    <w:rsid w:val="00DE2E94"/>
    <w:rsid w:val="00DE3CCE"/>
    <w:rsid w:val="00E019EC"/>
    <w:rsid w:val="00E06DF7"/>
    <w:rsid w:val="00E10C98"/>
    <w:rsid w:val="00E208EE"/>
    <w:rsid w:val="00E50C55"/>
    <w:rsid w:val="00E51865"/>
    <w:rsid w:val="00E66637"/>
    <w:rsid w:val="00E9124D"/>
    <w:rsid w:val="00E93066"/>
    <w:rsid w:val="00EA34F1"/>
    <w:rsid w:val="00EA3F84"/>
    <w:rsid w:val="00EC36C9"/>
    <w:rsid w:val="00EE0248"/>
    <w:rsid w:val="00EE268A"/>
    <w:rsid w:val="00EF2D63"/>
    <w:rsid w:val="00F0600A"/>
    <w:rsid w:val="00F33363"/>
    <w:rsid w:val="00F35551"/>
    <w:rsid w:val="00F54A53"/>
    <w:rsid w:val="00F66348"/>
    <w:rsid w:val="00F757E2"/>
    <w:rsid w:val="00F8028E"/>
    <w:rsid w:val="00F83C3F"/>
    <w:rsid w:val="00F90EDB"/>
    <w:rsid w:val="00F979C8"/>
    <w:rsid w:val="00FA2417"/>
    <w:rsid w:val="00FA2DB0"/>
    <w:rsid w:val="00FB3E76"/>
    <w:rsid w:val="00FB4350"/>
    <w:rsid w:val="00FC02BC"/>
    <w:rsid w:val="00FC0FAB"/>
    <w:rsid w:val="00FC20AD"/>
    <w:rsid w:val="00FC6DF7"/>
    <w:rsid w:val="00FD0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DAF0B"/>
  <w15:docId w15:val="{FC7E197D-4412-4C93-97F0-F98C71E1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675452482">
      <w:bodyDiv w:val="1"/>
      <w:marLeft w:val="0"/>
      <w:marRight w:val="0"/>
      <w:marTop w:val="0"/>
      <w:marBottom w:val="0"/>
      <w:divBdr>
        <w:top w:val="none" w:sz="0" w:space="0" w:color="auto"/>
        <w:left w:val="none" w:sz="0" w:space="0" w:color="auto"/>
        <w:bottom w:val="none" w:sz="0" w:space="0" w:color="auto"/>
        <w:right w:val="none" w:sz="0" w:space="0" w:color="auto"/>
      </w:divBdr>
    </w:div>
    <w:div w:id="1810047493">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1977098608">
      <w:bodyDiv w:val="1"/>
      <w:marLeft w:val="0"/>
      <w:marRight w:val="0"/>
      <w:marTop w:val="0"/>
      <w:marBottom w:val="0"/>
      <w:divBdr>
        <w:top w:val="none" w:sz="0" w:space="0" w:color="auto"/>
        <w:left w:val="none" w:sz="0" w:space="0" w:color="auto"/>
        <w:bottom w:val="none" w:sz="0" w:space="0" w:color="auto"/>
        <w:right w:val="none" w:sz="0" w:space="0" w:color="auto"/>
      </w:divBdr>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cid:95d2b8b2-892a-4b20-841c-1363d9239bb8@intel.co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lveralo\Desktop\NR-mmWave-PC-worksheet-r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'Max EIRP summary for tdoc'!$B$14:$C$14</c:f>
              <c:strCache>
                <c:ptCount val="2"/>
                <c:pt idx="0">
                  <c:v>Peak EIRP (nominal)</c:v>
                </c:pt>
                <c:pt idx="1">
                  <c:v>dBm</c:v>
                </c:pt>
              </c:strCache>
            </c:strRef>
          </c:tx>
          <c:spPr>
            <a:solidFill>
              <a:schemeClr val="accent1"/>
            </a:solidFill>
            <a:ln>
              <a:noFill/>
            </a:ln>
            <a:effectLst/>
          </c:spPr>
          <c:invertIfNegative val="0"/>
          <c:cat>
            <c:strRef>
              <c:f>'Max EIRP summary for tdoc'!$D$4:$Q$4</c:f>
              <c:strCache>
                <c:ptCount val="14"/>
                <c:pt idx="0">
                  <c:v>Company A                     24.25 - 29.5</c:v>
                </c:pt>
                <c:pt idx="1">
                  <c:v>Company A                        37 - 40</c:v>
                </c:pt>
                <c:pt idx="2">
                  <c:v>Company B                                                           24.25 - 29.5</c:v>
                </c:pt>
                <c:pt idx="3">
                  <c:v>Company B                                                    37 - 40</c:v>
                </c:pt>
                <c:pt idx="4">
                  <c:v>Company C                                                                       24.25 - 29.5</c:v>
                </c:pt>
                <c:pt idx="5">
                  <c:v>Company C                                                                37 - 40</c:v>
                </c:pt>
                <c:pt idx="6">
                  <c:v>Company D                                                                                         24.25 - 29.5</c:v>
                </c:pt>
                <c:pt idx="7">
                  <c:v>Company D                                                                   37 - 40</c:v>
                </c:pt>
                <c:pt idx="8">
                  <c:v>Company E                                                                                             24.25 - 29.5</c:v>
                </c:pt>
                <c:pt idx="9">
                  <c:v>Company E                                                                                             37 - 40</c:v>
                </c:pt>
                <c:pt idx="10">
                  <c:v>Company F                                                                                             24.25 - 29.5</c:v>
                </c:pt>
                <c:pt idx="11">
                  <c:v>Company F                                                                                             37 - 40</c:v>
                </c:pt>
                <c:pt idx="12">
                  <c:v>Company G                     24.25 - 29.5</c:v>
                </c:pt>
                <c:pt idx="13">
                  <c:v>Company G                        37 - 40</c:v>
                </c:pt>
              </c:strCache>
            </c:strRef>
          </c:cat>
          <c:val>
            <c:numRef>
              <c:f>'Max EIRP summary for tdoc'!$D$14:$Q$14</c:f>
              <c:numCache>
                <c:formatCode>0.00</c:formatCode>
                <c:ptCount val="14"/>
                <c:pt idx="0">
                  <c:v>24.05</c:v>
                </c:pt>
                <c:pt idx="1">
                  <c:v>22.35</c:v>
                </c:pt>
                <c:pt idx="2">
                  <c:v>25.25</c:v>
                </c:pt>
                <c:pt idx="3">
                  <c:v>22.5</c:v>
                </c:pt>
                <c:pt idx="4">
                  <c:v>24.9</c:v>
                </c:pt>
                <c:pt idx="5">
                  <c:v>23.9</c:v>
                </c:pt>
                <c:pt idx="6">
                  <c:v>26.15</c:v>
                </c:pt>
                <c:pt idx="7">
                  <c:v>23.65</c:v>
                </c:pt>
                <c:pt idx="8">
                  <c:v>25.25</c:v>
                </c:pt>
                <c:pt idx="9">
                  <c:v>24.05</c:v>
                </c:pt>
                <c:pt idx="10">
                  <c:v>26.55</c:v>
                </c:pt>
                <c:pt idx="11">
                  <c:v>25.55</c:v>
                </c:pt>
                <c:pt idx="12">
                  <c:v>23.85</c:v>
                </c:pt>
                <c:pt idx="13">
                  <c:v>22.15</c:v>
                </c:pt>
              </c:numCache>
            </c:numRef>
          </c:val>
        </c:ser>
        <c:ser>
          <c:idx val="2"/>
          <c:order val="1"/>
          <c:tx>
            <c:strRef>
              <c:f>'Max EIRP summary for tdoc'!$B$16:$C$16</c:f>
              <c:strCache>
                <c:ptCount val="2"/>
                <c:pt idx="0">
                  <c:v>Peak EIRP (minimum)</c:v>
                </c:pt>
                <c:pt idx="1">
                  <c:v>dBm</c:v>
                </c:pt>
              </c:strCache>
            </c:strRef>
          </c:tx>
          <c:spPr>
            <a:solidFill>
              <a:schemeClr val="accent2"/>
            </a:solidFill>
            <a:ln>
              <a:noFill/>
            </a:ln>
            <a:effectLst/>
          </c:spPr>
          <c:invertIfNegative val="0"/>
          <c:cat>
            <c:strRef>
              <c:f>'Max EIRP summary for tdoc'!$D$4:$Q$4</c:f>
              <c:strCache>
                <c:ptCount val="14"/>
                <c:pt idx="0">
                  <c:v>Company A                     24.25 - 29.5</c:v>
                </c:pt>
                <c:pt idx="1">
                  <c:v>Company A                        37 - 40</c:v>
                </c:pt>
                <c:pt idx="2">
                  <c:v>Company B                                                           24.25 - 29.5</c:v>
                </c:pt>
                <c:pt idx="3">
                  <c:v>Company B                                                    37 - 40</c:v>
                </c:pt>
                <c:pt idx="4">
                  <c:v>Company C                                                                       24.25 - 29.5</c:v>
                </c:pt>
                <c:pt idx="5">
                  <c:v>Company C                                                                37 - 40</c:v>
                </c:pt>
                <c:pt idx="6">
                  <c:v>Company D                                                                                         24.25 - 29.5</c:v>
                </c:pt>
                <c:pt idx="7">
                  <c:v>Company D                                                                   37 - 40</c:v>
                </c:pt>
                <c:pt idx="8">
                  <c:v>Company E                                                                                             24.25 - 29.5</c:v>
                </c:pt>
                <c:pt idx="9">
                  <c:v>Company E                                                                                             37 - 40</c:v>
                </c:pt>
                <c:pt idx="10">
                  <c:v>Company F                                                                                             24.25 - 29.5</c:v>
                </c:pt>
                <c:pt idx="11">
                  <c:v>Company F                                                                                             37 - 40</c:v>
                </c:pt>
                <c:pt idx="12">
                  <c:v>Company G                     24.25 - 29.5</c:v>
                </c:pt>
                <c:pt idx="13">
                  <c:v>Company G                        37 - 40</c:v>
                </c:pt>
              </c:strCache>
            </c:strRef>
          </c:cat>
          <c:val>
            <c:numRef>
              <c:f>'Max EIRP summary for tdoc'!$D$16:$Q$16</c:f>
              <c:numCache>
                <c:formatCode>0.00</c:formatCode>
                <c:ptCount val="14"/>
                <c:pt idx="0">
                  <c:v>20.2</c:v>
                </c:pt>
                <c:pt idx="1">
                  <c:v>18.400000000000002</c:v>
                </c:pt>
                <c:pt idx="2">
                  <c:v>21.5</c:v>
                </c:pt>
                <c:pt idx="3">
                  <c:v>18.55</c:v>
                </c:pt>
                <c:pt idx="4">
                  <c:v>21.049999999999997</c:v>
                </c:pt>
                <c:pt idx="5">
                  <c:v>20.45</c:v>
                </c:pt>
                <c:pt idx="6">
                  <c:v>22.299999999999997</c:v>
                </c:pt>
                <c:pt idx="7">
                  <c:v>19.7</c:v>
                </c:pt>
                <c:pt idx="8">
                  <c:v>22.4</c:v>
                </c:pt>
                <c:pt idx="9">
                  <c:v>20.6</c:v>
                </c:pt>
                <c:pt idx="10">
                  <c:v>23.7</c:v>
                </c:pt>
                <c:pt idx="11">
                  <c:v>22.1</c:v>
                </c:pt>
                <c:pt idx="12">
                  <c:v>20</c:v>
                </c:pt>
                <c:pt idx="13">
                  <c:v>18.2</c:v>
                </c:pt>
              </c:numCache>
            </c:numRef>
          </c:val>
        </c:ser>
        <c:dLbls>
          <c:showLegendKey val="0"/>
          <c:showVal val="0"/>
          <c:showCatName val="0"/>
          <c:showSerName val="0"/>
          <c:showPercent val="0"/>
          <c:showBubbleSize val="0"/>
        </c:dLbls>
        <c:gapWidth val="219"/>
        <c:overlap val="-27"/>
        <c:axId val="873602760"/>
        <c:axId val="873599232"/>
      </c:barChart>
      <c:catAx>
        <c:axId val="8736027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873599232"/>
        <c:crosses val="autoZero"/>
        <c:auto val="1"/>
        <c:lblAlgn val="ctr"/>
        <c:lblOffset val="100"/>
        <c:noMultiLvlLbl val="0"/>
      </c:catAx>
      <c:valAx>
        <c:axId val="873599232"/>
        <c:scaling>
          <c:orientation val="minMax"/>
          <c:max val="30"/>
          <c:min val="10"/>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873602760"/>
        <c:crosses val="autoZero"/>
        <c:crossBetween val="between"/>
        <c:maj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EEAC9-713F-4583-9443-033539102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2060</Words>
  <Characters>10789</Characters>
  <Application>Microsoft Office Word</Application>
  <DocSecurity>0</DocSecurity>
  <Lines>562</Lines>
  <Paragraphs>385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Vera Lopez, Aida L</dc:creator>
  <cp:keywords>CTPClassification=CTP_PUBLIC:VisualMarkings=</cp:keywords>
  <cp:lastModifiedBy>Vera Lopez, Aida L</cp:lastModifiedBy>
  <cp:revision>3</cp:revision>
  <dcterms:created xsi:type="dcterms:W3CDTF">2017-11-17T22:21:00Z</dcterms:created>
  <dcterms:modified xsi:type="dcterms:W3CDTF">2017-11-17T22:37:00Z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80f20e8b-112f-4eda-8223-1d8791140e6d</vt:lpwstr>
  </property>
  <property fmtid="{D5CDD505-2E9C-101B-9397-08002B2CF9AE}" pid="3" name="CTP_TimeStamp">
    <vt:lpwstr>2017-11-17 22:37:28Z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CTP_PUBLIC</vt:lpwstr>
  </property>
</Properties>
</file>